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протокол-3-от-15.03.2019г."/>
    <w:p>
      <w:pPr>
        <w:pStyle w:val="Heading3"/>
      </w:pPr>
      <w:r>
        <w:t xml:space="preserve">Протокол №3 от 15.03.2019г.</w:t>
      </w:r>
    </w:p>
    <w:p>
      <w:pPr>
        <w:pStyle w:val="FirstParagraph"/>
      </w:pPr>
      <w:r>
        <w:t xml:space="preserve">06.05.2019</w:t>
      </w:r>
    </w:p>
    <w:p>
      <w:pPr>
        <w:pStyle w:val="BodyText"/>
      </w:pPr>
      <w:r>
        <w:rPr>
          <w:bCs/>
          <w:b/>
        </w:rPr>
        <w:t xml:space="preserve">Протокол №3 от 15.03.2019г.</w:t>
      </w:r>
    </w:p>
    <w:p>
      <w:pPr>
        <w:pStyle w:val="BodyText"/>
      </w:pPr>
      <w:r>
        <w:t xml:space="preserve">В соответствии с п.II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Восточного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>
      <w:pPr>
        <w:pStyle w:val="BodyText"/>
      </w:pPr>
      <w:r>
        <w:t xml:space="preserve"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>
      <w:pPr>
        <w:pStyle w:val="BodyText"/>
      </w:pPr>
      <w:r>
        <w:t xml:space="preserve"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осуществляет ГБУ «Автомобильные дороги ВАО».</w:t>
      </w:r>
    </w:p>
    <w:p>
      <w:pPr>
        <w:pStyle w:val="BodyText"/>
      </w:pPr>
      <w:bookmarkStart w:id="20" w:name="RANGE!A1:B16"/>
      <w:r>
        <w:t xml:space="preserve">15.03.2019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20"/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t xml:space="preserve">Адрес</w:t>
            </w:r>
          </w:p>
        </w:tc>
        <w:tc>
          <w:tcPr/>
          <w:p>
            <w:pPr>
              <w:jc w:val="left"/>
            </w:pPr>
            <w:r>
              <w:t xml:space="preserve">Тип объекта</w:t>
            </w:r>
          </w:p>
        </w:tc>
      </w:tr>
      <w:tr>
        <w:tc>
          <w:tcPr/>
          <w:p>
            <w:pPr>
              <w:jc w:val="left"/>
            </w:pPr>
            <w:r>
              <w:t xml:space="preserve">Погонный проезд, вл. 5</w:t>
            </w:r>
          </w:p>
        </w:tc>
        <w:tc>
          <w:tcPr/>
          <w:p>
            <w:pPr>
              <w:jc w:val="left"/>
            </w:pPr>
            <w:r>
              <w:t xml:space="preserve">гаражи/бытовки</w:t>
            </w:r>
          </w:p>
        </w:tc>
      </w:tr>
      <w:tr>
        <w:tc>
          <w:tcPr/>
          <w:p>
            <w:pPr>
              <w:jc w:val="left"/>
            </w:pPr>
            <w:r>
              <w:t xml:space="preserve">Тюменский пр-д, вл. 3-5 (Открытое шоссе, вл. 16)</w:t>
            </w:r>
          </w:p>
        </w:tc>
        <w:tc>
          <w:tcPr/>
          <w:p>
            <w:pPr>
              <w:jc w:val="left"/>
            </w:pPr>
            <w:r>
              <w:t xml:space="preserve">гаражи/бытовки</w:t>
            </w:r>
          </w:p>
        </w:tc>
      </w:tr>
      <w:tr>
        <w:tc>
          <w:tcPr/>
          <w:p>
            <w:pPr>
              <w:jc w:val="left"/>
            </w:pPr>
            <w:r>
              <w:t xml:space="preserve">ул. Богородский Вал, вл. 1-3</w:t>
            </w:r>
          </w:p>
        </w:tc>
        <w:tc>
          <w:tcPr/>
          <w:p>
            <w:pPr>
              <w:jc w:val="left"/>
            </w:pPr>
            <w:r>
              <w:t xml:space="preserve">заборы/ограждения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http://bogorodskoe.mos.ru/building_and_reconstruction/the-district-commission-to-curb-the-unauthorized-construction-in-the-territory-of-the-vao-g-moskvy/two-thousand-nineteen/detail/8062544.html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building_and_reconstruction/the-district-commission-to-curb-the-unauthorized-construction-in-the-territory-of-the-vao-g-moskvy/two-thousand-nineteen/detail/80625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bogorodskoe.mos.ru" TargetMode="External" /><Relationship Type="http://schemas.openxmlformats.org/officeDocument/2006/relationships/hyperlink" Id="rId21" Target="http://bogorodskoe.mos.ru/building_and_reconstruction/the-district-commission-to-curb-the-unauthorized-construction-in-the-territory-of-the-vao-g-moskvy/two-thousand-nineteen/detail/80625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2024-09-28T21:25:48Z</dcterms:created>
  <dcterms:modified xsi:type="dcterms:W3CDTF">2024-09-28T21:25:48Z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