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телефонный-терроризм"/>
    <w:p>
      <w:pPr>
        <w:pStyle w:val="Heading3"/>
      </w:pPr>
      <w:r>
        <w:t xml:space="preserve">Телефонный терроризм</w:t>
      </w:r>
    </w:p>
    <w:p>
      <w:pPr>
        <w:pStyle w:val="FirstParagraph"/>
      </w:pPr>
      <w:r>
        <w:t xml:space="preserve">31.08.2021</w:t>
      </w:r>
    </w:p>
    <w:p>
      <w:pPr>
        <w:pStyle w:val="BodyText"/>
      </w:pPr>
      <w:r>
        <w:drawing>
          <wp:inline>
            <wp:extent cx="4591250" cy="669918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c7c/telefonnyy-terrorizm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250" cy="6699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http://bogorodskoe.mos.ru/counter-terrorism/memo-to-the-population-behavior-in-the-event-of-threats-of-a-terrorist-act/detail/10216675.html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counter-terrorism/memo-to-the-population-behavior-in-the-event-of-threats-of-a-terrorist-act/detail/102166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counter-terrorism/memo-to-the-population-behavior-in-the-event-of-threats-of-a-terrorist-act/detail/102166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2024-09-21T23:23:41Z</dcterms:created>
  <dcterms:modified xsi:type="dcterms:W3CDTF">2024-09-21T23:23:41Z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