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19765069db1cba67c2a07d6baa5fa55f052afc"/>
    <w:p>
      <w:pPr>
        <w:pStyle w:val="Heading3"/>
      </w:pPr>
      <w:r>
        <w:t xml:space="preserve">Поведение при возникновении угрозы террористического акта</w:t>
      </w:r>
    </w:p>
    <w:p>
      <w:pPr>
        <w:pStyle w:val="FirstParagraph"/>
      </w:pPr>
      <w:r>
        <w:t xml:space="preserve">23.09.2019</w:t>
      </w:r>
    </w:p>
    <w:p>
      <w:pPr>
        <w:pStyle w:val="BodyText"/>
      </w:pPr>
      <w:r>
        <w:drawing>
          <wp:inline>
            <wp:extent cx="5334000" cy="73370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c3a/4cd7cb0381ff290d316d60314f4360cfcb4fa88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370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http://bogorodskoe.mos.ru/counter-terrorism/memo-to-the-population-behavior-in-the-event-of-threats-of-a-terrorist-act/detail/8366673.html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counter-terrorism/memo-to-the-population-behavior-in-the-event-of-threats-of-a-terrorist-act/detail/83666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counter-terrorism/memo-to-the-population-behavior-in-the-event-of-threats-of-a-terrorist-act/detail/83666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2025-07-26T13:35:59Z</dcterms:created>
  <dcterms:modified xsi:type="dcterms:W3CDTF">2025-07-26T13:35:59Z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