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45788f6e8d794d4e9fbc59b90592b5baf8a6a"/>
    <w:p>
      <w:pPr>
        <w:pStyle w:val="Heading3"/>
      </w:pPr>
      <w:r>
        <w:t xml:space="preserve">Информация о проведении заседания рабочей группы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t xml:space="preserve">24.12.2019 года в управе района Богородское проведено заседание рабочей группы по обеспечению антитеррористической безопасности в период проведения праздничных мероприятий. Во исполнение принятых решений, организациям и службам района даны соответствующие поручения.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http://bogorodskoe.mos.ru/counter-terrorism/prevention-of-terrorism-and-extremism/detail/8597083.html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prevention-of-terrorism-and-extremism/detail/85970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prevention-of-terrorism-and-extremism/detail/85970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2023-12-30T01:50:28Z</dcterms:created>
  <dcterms:modified xsi:type="dcterms:W3CDTF">2023-12-30T01:50:28Z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