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8f2a572f8b2f568443c09a17b4ef0c8fcc8520"/>
    <w:p>
      <w:pPr>
        <w:pStyle w:val="Heading3"/>
      </w:pPr>
      <w:r>
        <w:t xml:space="preserve">Разъяснения судебной практики по уголовным делам о преступлениях экстремистской и террористической направленности</w:t>
      </w:r>
    </w:p>
    <w:p>
      <w:pPr>
        <w:pStyle w:val="FirstParagraph"/>
      </w:pPr>
      <w:r>
        <w:t xml:space="preserve">26.07.2018</w:t>
      </w:r>
    </w:p>
    <w:p>
      <w:pPr>
        <w:pStyle w:val="BodyText"/>
      </w:pPr>
      <w:r>
        <w:t xml:space="preserve">Постановлением Пленума Верховного Суда РФ от 03.11.2016 N 41 актуализированы разъяснения судебной практики по уголовным делам о преступлениях экстремистской и террористической направленности.</w:t>
      </w:r>
    </w:p>
    <w:p>
      <w:pPr>
        <w:pStyle w:val="BodyText"/>
      </w:pPr>
      <w:r>
        <w:t xml:space="preserve">Поправки в постановления Пленума Верховного Суда РФ от 09.02.2012 N 1 "О некоторых вопросах судебной практики по уголовным делам о преступлениях террористической направленности" и от 28.06.2011 N 11 "О судебной практике по уголовным делам о преступлениях экстремистской направленности" внесены в связи с введением уголовной ответственности за отдельные преступления террористической и экстремистской направленности (в том числе за прохождение обучения в целях осуществления террористической деятельности (статья 205.3 УК РФ), организацию террористического сообщества и участие в нем (статья 205.4 УК РФ), организацию деятельности террористической организации и участие в деятельности такой организации (статья 205.5 УК РФ), совершение и финансирование акта международного терроризма (статья 361 УК РФ), финансирование экстремистской деятельности (статья 282.3 УК РФ) и за некоторые другие деяния).</w:t>
      </w:r>
    </w:p>
    <w:p>
      <w:pPr>
        <w:pStyle w:val="BodyText"/>
      </w:pPr>
      <w:r>
        <w:t xml:space="preserve">В настоящем постановлении даются, в частности, следующие разъяснения:</w:t>
      </w:r>
    </w:p>
    <w:p>
      <w:pPr>
        <w:pStyle w:val="BodyText"/>
      </w:pPr>
      <w:r>
        <w:t xml:space="preserve">цели дестабилизации деятельности органов власти или международных организаций либо воздействия на принятие ими решений являются обязательным признаком террористического акта (статья 205 УК РФ);</w:t>
      </w:r>
    </w:p>
    <w:p>
      <w:pPr>
        <w:pStyle w:val="BodyText"/>
      </w:pPr>
      <w:r>
        <w:t xml:space="preserve">при решении вопроса о направленности умысла виновного лица на дестабилизацию деятельности органов власти или международных организаций следует исходить из совокупности всех обстоятельств содеянного и учитывать, в частности, время, место, способ, обстановку, орудия и средства совершения преступления, характер и размер наступивших или предполагаемых последствий, а также предшествующее преступлению и последующее поведение виновного;</w:t>
      </w:r>
    </w:p>
    <w:p>
      <w:pPr>
        <w:pStyle w:val="BodyText"/>
      </w:pPr>
      <w:r>
        <w:t xml:space="preserve">уголовная ответственность за пособничество в совершении террористического акта, захвата заложника или организации незаконного вооруженного формирования, осуществленное участником организованной группы, совершившей такие преступления, наступает по соответствующей статье Особенной части УК РФ и не требует квалификации по части 3 статьи 205.1 УК РФ;</w:t>
      </w:r>
    </w:p>
    <w:p>
      <w:pPr>
        <w:pStyle w:val="BodyText"/>
      </w:pPr>
      <w:r>
        <w:t xml:space="preserve">при совершении публичных призывов к осуществлению террористической деятельности или публичного оправдания терроризма, к осуществлению экстремистской деятельности путем массовой рассылки сообщений абонентам мобильной связи или с использованием электронных или информационно-телекоммуникационных сетей, в том числе сети "Интернет", преступление следует считать оконченным с момента размещения обращений в указанных сетях общего пользования (например, на сайтах, форумах или в блогах), отправления сообщений другим лицам;</w:t>
      </w:r>
    </w:p>
    <w:p>
      <w:pPr>
        <w:pStyle w:val="BodyText"/>
      </w:pPr>
      <w:r>
        <w:t xml:space="preserve">при решении вопроса о направленности действий лица, разместившего какую-либо информацию либо выразившего свое отношение к ней в сети "Интернет" или иной информационно-телекоммуникационной сети, на возбуждение ненависти либо вражды, а равно унижение достоинства человека либо группы лиц следует исходить из совокупности всех обстоятельств содеянного и учитывать, в частности, контекст, форму и содержание размещенной информации, наличие и содержание комментариев или иного выражения отношения к ней.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http://bogorodskoe.mos.ru/counter-terrorism/the-legal-basis-of-combating-terrorism-and-extremism/detail/7472914.html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counter-terrorism/the-legal-basis-of-combating-terrorism-and-extremism/detail/74729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counter-terrorism/the-legal-basis-of-combating-terrorism-and-extremism/detail/74729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2025-02-20T07:04:13Z</dcterms:created>
  <dcterms:modified xsi:type="dcterms:W3CDTF">2025-02-20T07:04:13Z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