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79c01bb95c0ad7e00bbb11ebbc5cdce81f9876"/>
    <w:p>
      <w:pPr>
        <w:pStyle w:val="Heading3"/>
      </w:pPr>
      <w:r>
        <w:t xml:space="preserve">По предписанию Мосжилинспекции выполнен ремонт цоколя</w:t>
      </w:r>
    </w:p>
    <w:p>
      <w:pPr>
        <w:pStyle w:val="FirstParagraph"/>
      </w:pPr>
      <w:r>
        <w:t xml:space="preserve">26.11.2018</w:t>
      </w:r>
    </w:p>
    <w:p>
      <w:pPr>
        <w:pStyle w:val="BodyText"/>
      </w:pPr>
      <w:r>
        <w:t xml:space="preserve">Жилищной инспекцией по Восточному административному округу в рамках инспекционной деятельности были проведены обследования домов 66, корпуса 4, 5, 6, 7 по Перовской улице (район Новогиреево, управляющая организация ООО «ПИК-Комфорт»), в ходе которых выявлены локальные нарушения в состоянии цоколя дома 66, корпус 4 по Перовской улице из-за некачественно проведенных ранее работ по восстановлению окрасочного слоя.</w:t>
      </w:r>
    </w:p>
    <w:p>
      <w:pPr>
        <w:pStyle w:val="BodyText"/>
      </w:pPr>
      <w:r>
        <w:rPr>
          <w:iCs/>
          <w:i/>
        </w:rPr>
        <w:t xml:space="preserve">Согласно п.4.2.1.1 Правил и норм технической эксплуатации жилищного фонда МДК 2-03.2003, утвержденных постановлением Госстроя России от 27.09.2003 №170, организация по обслуживанию жилищного фонда должна обеспечить исправное состояние стен, устранение повреждений по мере выявления, не допуская их дальнейшего развития.</w:t>
      </w:r>
    </w:p>
    <w:p>
      <w:pPr>
        <w:pStyle w:val="BodyText"/>
      </w:pPr>
      <w:r>
        <w:t xml:space="preserve">По результатам обследования Инспекцией ООО «ПИК-Комфорт» было выдано предписание на устранение выявленных нарушений, которое ООО «ПИК-Комфорт» исполнено в установленные сроки, ремонт цоколя выполнен, нарушения устранены.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http://bogorodskoe.mos.ru/housing_and_utilities_sector/news/detail/7720182.html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201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201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2025-05-14T13:36:32Z</dcterms:created>
  <dcterms:modified xsi:type="dcterms:W3CDTF">2025-05-14T13:36:32Z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