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0352e4a377d7ae617765fbf8044cd08ee27d5f"/>
    <w:p>
      <w:pPr>
        <w:pStyle w:val="Heading3"/>
      </w:pPr>
      <w:r>
        <w:t xml:space="preserve">План-график выполнения работ по приведению в порядок подъездов многоквартирных домов на 2020 год по Восточному административному округу города Москвы за счет средств управляющих организаций</w:t>
      </w:r>
    </w:p>
    <w:p>
      <w:pPr>
        <w:pStyle w:val="FirstParagraph"/>
      </w:pPr>
      <w:r>
        <w:t xml:space="preserve">25.12.2019</w:t>
      </w:r>
    </w:p>
    <w:p>
      <w:pPr>
        <w:pStyle w:val="BodyText"/>
      </w:pPr>
      <w:r>
        <w:drawing>
          <wp:inline>
            <wp:extent cx="5334000" cy="37660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9e8/plan_grafik-po-remontu-podezdov-na-2020-go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http://bogorodskoe.mos.ru/housing_and_utilities_sector/news/detail/8590256.html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housing_and_utilities_sector/news/detail/85902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housing_and_utilities_sector/news/detail/85902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2023-08-22T18:14:32Z</dcterms:created>
  <dcterms:modified xsi:type="dcterms:W3CDTF">2023-08-22T18:14:32Z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