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f45e88cb4a2ce9c9f0fdde31a444e3bc7a75ce"/>
    <w:p>
      <w:pPr>
        <w:pStyle w:val="Heading3"/>
      </w:pPr>
      <w:r>
        <w:t xml:space="preserve">О возникновении основания для исключения из реестра лицензий города Москвы сведений о многоквартирных домах, в виду наличия вступивших в законную силу постановлений об административных правонарушениях</w:t>
      </w:r>
    </w:p>
    <w:p>
      <w:pPr>
        <w:pStyle w:val="FirstParagraph"/>
      </w:pPr>
      <w:r>
        <w:t xml:space="preserve">06.10.2020</w:t>
      </w:r>
    </w:p>
    <w:p>
      <w:pPr>
        <w:pStyle w:val="BodyText"/>
      </w:pPr>
      <w:r>
        <w:rPr>
          <w:bCs/>
          <w:b/>
        </w:rPr>
        <w:t xml:space="preserve">УВАЖАЕМЫЕ СОБСТВЕННИКИ ПОМЕЩЕНИЙ МНОГОКВАРТИРНЫХ ДОМОВ ПО АДРЕСАМ:</w:t>
      </w:r>
    </w:p>
    <w:p>
      <w:pPr>
        <w:pStyle w:val="BodyText"/>
      </w:pPr>
      <w:r>
        <w:rPr>
          <w:bCs/>
          <w:b/>
        </w:rPr>
        <w:t xml:space="preserve">1. г. Москва, ул. Бойцовая, д. 10, корп. 7;</w:t>
      </w:r>
    </w:p>
    <w:p>
      <w:pPr>
        <w:pStyle w:val="BodyText"/>
      </w:pPr>
      <w:r>
        <w:rPr>
          <w:bCs/>
          <w:b/>
        </w:rPr>
        <w:t xml:space="preserve">2. г. Москва, ул. Бойцовая, д. 10, корп. 8;</w:t>
      </w:r>
    </w:p>
    <w:p>
      <w:pPr>
        <w:pStyle w:val="BodyText"/>
      </w:pPr>
      <w:r>
        <w:rPr>
          <w:bCs/>
          <w:b/>
        </w:rPr>
        <w:t xml:space="preserve">3. г. Москва, ул. Бойцовая, д. 10, корп. 9;</w:t>
      </w:r>
    </w:p>
    <w:p>
      <w:pPr>
        <w:pStyle w:val="BodyText"/>
      </w:pPr>
      <w:r>
        <w:rPr>
          <w:bCs/>
          <w:b/>
        </w:rPr>
        <w:t xml:space="preserve">4. г. Москва, ул. Бойцовая, д. 13, корп. 2;</w:t>
      </w:r>
    </w:p>
    <w:p>
      <w:pPr>
        <w:pStyle w:val="BodyText"/>
      </w:pPr>
      <w:r>
        <w:rPr>
          <w:bCs/>
          <w:b/>
        </w:rPr>
        <w:t xml:space="preserve">5. г. Москва, ул. Бойцовая, д. 14, корп. 1;</w:t>
      </w:r>
    </w:p>
    <w:p>
      <w:pPr>
        <w:pStyle w:val="BodyText"/>
      </w:pPr>
      <w:r>
        <w:rPr>
          <w:bCs/>
          <w:b/>
        </w:rPr>
        <w:t xml:space="preserve">6. г. Москва, ул. Бойцовая, д. 14, корп. 3;</w:t>
      </w:r>
    </w:p>
    <w:p>
      <w:pPr>
        <w:pStyle w:val="BodyText"/>
      </w:pPr>
      <w:r>
        <w:rPr>
          <w:bCs/>
          <w:b/>
        </w:rPr>
        <w:t xml:space="preserve">7. г. Москва, ул. Бойцовая, д. 14, корп. 7;</w:t>
      </w:r>
    </w:p>
    <w:p>
      <w:pPr>
        <w:pStyle w:val="BodyText"/>
      </w:pPr>
      <w:r>
        <w:rPr>
          <w:bCs/>
          <w:b/>
        </w:rPr>
        <w:t xml:space="preserve">8. г. Москва, ул. Бойцовая, д. 14, корп. 8;</w:t>
      </w:r>
    </w:p>
    <w:p>
      <w:pPr>
        <w:pStyle w:val="BodyText"/>
      </w:pPr>
      <w:r>
        <w:rPr>
          <w:bCs/>
          <w:b/>
        </w:rPr>
        <w:t xml:space="preserve">9. г. Москва, ул. Бойцовая, д. 15;коп 1оо</w:t>
      </w:r>
    </w:p>
    <w:p>
      <w:pPr>
        <w:pStyle w:val="BodyText"/>
      </w:pPr>
      <w:r>
        <w:rPr>
          <w:bCs/>
          <w:b/>
        </w:rPr>
        <w:t xml:space="preserve">10. г. Москва, ул. Бойцовая, д. 17, корп. 1;</w:t>
      </w:r>
    </w:p>
    <w:p>
      <w:pPr>
        <w:pStyle w:val="BodyText"/>
      </w:pPr>
      <w:r>
        <w:rPr>
          <w:bCs/>
          <w:b/>
        </w:rPr>
        <w:t xml:space="preserve">11. г. Москва, ул. Бойцовая, д. 17, корп. 3;</w:t>
      </w:r>
    </w:p>
    <w:p>
      <w:pPr>
        <w:pStyle w:val="BodyText"/>
      </w:pPr>
      <w:r>
        <w:rPr>
          <w:bCs/>
          <w:b/>
        </w:rPr>
        <w:t xml:space="preserve">12. г. Москва, ул. Бойцовая, д. 19;</w:t>
      </w:r>
    </w:p>
    <w:p>
      <w:pPr>
        <w:pStyle w:val="BodyText"/>
      </w:pPr>
      <w:r>
        <w:rPr>
          <w:bCs/>
          <w:b/>
        </w:rPr>
        <w:t xml:space="preserve">13. г. Москва, ул. Глебовская, д. 3, корп. 1;</w:t>
      </w:r>
    </w:p>
    <w:p>
      <w:pPr>
        <w:pStyle w:val="BodyText"/>
      </w:pPr>
      <w:r>
        <w:rPr>
          <w:bCs/>
          <w:b/>
        </w:rPr>
        <w:t xml:space="preserve">14. г. Москва, ул. Глебовская, д. 3, корп. 2;</w:t>
      </w:r>
    </w:p>
    <w:p>
      <w:pPr>
        <w:pStyle w:val="BodyText"/>
      </w:pPr>
      <w:r>
        <w:rPr>
          <w:bCs/>
          <w:b/>
        </w:rPr>
        <w:t xml:space="preserve">15. г. Москва, ул. Глебовская, д. 7;</w:t>
      </w:r>
    </w:p>
    <w:p>
      <w:pPr>
        <w:pStyle w:val="BodyText"/>
      </w:pPr>
      <w:r>
        <w:rPr>
          <w:bCs/>
          <w:b/>
        </w:rPr>
        <w:t xml:space="preserve">16. г. Москва, ул. Глебовская, д. 8А, корп. 1;</w:t>
      </w:r>
    </w:p>
    <w:p>
      <w:pPr>
        <w:pStyle w:val="BodyText"/>
      </w:pPr>
      <w:r>
        <w:rPr>
          <w:bCs/>
          <w:b/>
        </w:rPr>
        <w:t xml:space="preserve">17. г. Москва, ул. Глебовская, д. 10;</w:t>
      </w:r>
    </w:p>
    <w:p>
      <w:pPr>
        <w:pStyle w:val="BodyText"/>
      </w:pPr>
      <w:r>
        <w:rPr>
          <w:bCs/>
          <w:b/>
        </w:rPr>
        <w:t xml:space="preserve">18. г. Москва, ул. Глебовская, д. 11;</w:t>
      </w:r>
    </w:p>
    <w:p>
      <w:pPr>
        <w:pStyle w:val="BodyText"/>
      </w:pPr>
      <w:r>
        <w:rPr>
          <w:bCs/>
          <w:b/>
        </w:rPr>
        <w:t xml:space="preserve">19. г. Москва, ул. Глебовская, д. 12;</w:t>
      </w:r>
    </w:p>
    <w:p>
      <w:pPr>
        <w:pStyle w:val="BodyText"/>
      </w:pPr>
      <w:r>
        <w:rPr>
          <w:bCs/>
          <w:b/>
        </w:rPr>
        <w:t xml:space="preserve">20. г. Москва, ул. Гражданская 1-я, д. 95;</w:t>
      </w:r>
    </w:p>
    <w:p>
      <w:pPr>
        <w:pStyle w:val="BodyText"/>
      </w:pPr>
      <w:r>
        <w:rPr>
          <w:bCs/>
          <w:b/>
        </w:rPr>
        <w:t xml:space="preserve">21. г. Москва, ул. Гражданская 1-я, д. 99, корп. 2;</w:t>
      </w:r>
    </w:p>
    <w:p>
      <w:pPr>
        <w:pStyle w:val="BodyText"/>
      </w:pPr>
      <w:r>
        <w:rPr>
          <w:bCs/>
          <w:b/>
        </w:rPr>
        <w:t xml:space="preserve">22. г. Москва, ул. Гражданская 3-я, д. 54;</w:t>
      </w:r>
    </w:p>
    <w:p>
      <w:pPr>
        <w:pStyle w:val="BodyText"/>
      </w:pPr>
      <w:r>
        <w:rPr>
          <w:bCs/>
          <w:b/>
        </w:rPr>
        <w:t xml:space="preserve">23. г. Москва, ул. Гражданская 3-я, д. 54 А;</w:t>
      </w:r>
    </w:p>
    <w:p>
      <w:pPr>
        <w:pStyle w:val="BodyText"/>
      </w:pPr>
      <w:r>
        <w:rPr>
          <w:bCs/>
          <w:b/>
        </w:rPr>
        <w:t xml:space="preserve">24. г. Москва, ул. Гражданская 3-я, д. 58;</w:t>
      </w:r>
    </w:p>
    <w:p>
      <w:pPr>
        <w:pStyle w:val="BodyText"/>
      </w:pPr>
      <w:r>
        <w:rPr>
          <w:bCs/>
          <w:b/>
        </w:rPr>
        <w:t xml:space="preserve">25. г. Москва, ул. Гражданская 3-я, д. 58 А;</w:t>
      </w:r>
    </w:p>
    <w:p>
      <w:pPr>
        <w:pStyle w:val="BodyText"/>
      </w:pPr>
      <w:r>
        <w:rPr>
          <w:bCs/>
          <w:b/>
        </w:rPr>
        <w:t xml:space="preserve">26. г. Москва, ул. Гражданская 4-я, д. 34, корп. 2;</w:t>
      </w:r>
    </w:p>
    <w:p>
      <w:pPr>
        <w:pStyle w:val="BodyText"/>
      </w:pPr>
      <w:r>
        <w:rPr>
          <w:bCs/>
          <w:b/>
        </w:rPr>
        <w:t xml:space="preserve">27. г. Москва, ул. Краснобогатырская, д. 75, корп. 1;</w:t>
      </w:r>
    </w:p>
    <w:p>
      <w:pPr>
        <w:pStyle w:val="BodyText"/>
      </w:pPr>
      <w:r>
        <w:rPr>
          <w:bCs/>
          <w:b/>
        </w:rPr>
        <w:t xml:space="preserve">28. г. Москва, ул. Краснобогатырская, д. 75, корп. 2;</w:t>
      </w:r>
    </w:p>
    <w:p>
      <w:pPr>
        <w:pStyle w:val="BodyText"/>
      </w:pPr>
      <w:r>
        <w:rPr>
          <w:bCs/>
          <w:b/>
        </w:rPr>
        <w:t xml:space="preserve">29. г. Москва, ул. Краснобогатырская, д. 77;</w:t>
      </w:r>
    </w:p>
    <w:p>
      <w:pPr>
        <w:pStyle w:val="BodyText"/>
      </w:pPr>
      <w:r>
        <w:rPr>
          <w:bCs/>
          <w:b/>
        </w:rPr>
        <w:t xml:space="preserve">30. г. Москва, ул. Краснобогатырская, д. 79;</w:t>
      </w:r>
    </w:p>
    <w:p>
      <w:pPr>
        <w:pStyle w:val="BodyText"/>
      </w:pPr>
      <w:r>
        <w:rPr>
          <w:bCs/>
          <w:b/>
        </w:rPr>
        <w:t xml:space="preserve">31. г. Москва, ул. Черкизовская М., д. 64;</w:t>
      </w:r>
    </w:p>
    <w:p>
      <w:pPr>
        <w:pStyle w:val="BodyText"/>
      </w:pPr>
      <w:r>
        <w:rPr>
          <w:bCs/>
          <w:b/>
        </w:rPr>
        <w:t xml:space="preserve">32. г. Москва, ул. Черкизовская М., д. 66;</w:t>
      </w:r>
    </w:p>
    <w:p>
      <w:pPr>
        <w:pStyle w:val="BodyText"/>
      </w:pPr>
      <w:r>
        <w:rPr>
          <w:bCs/>
          <w:b/>
        </w:rPr>
        <w:t xml:space="preserve">33. г. Москва, б-р Маршала Рокоссовского, д. 1, корп. 1;</w:t>
      </w:r>
    </w:p>
    <w:p>
      <w:pPr>
        <w:pStyle w:val="BodyText"/>
      </w:pPr>
      <w:r>
        <w:rPr>
          <w:bCs/>
          <w:b/>
        </w:rPr>
        <w:t xml:space="preserve">34. Г. Москва, б-р Маршала Рокоссовского, д. 7, корп. 3;</w:t>
      </w:r>
    </w:p>
    <w:p>
      <w:pPr>
        <w:pStyle w:val="BodyText"/>
      </w:pPr>
      <w:r>
        <w:rPr>
          <w:bCs/>
          <w:b/>
        </w:rPr>
        <w:t xml:space="preserve">35. г. Москва, б-р Маршала Рокоссовского, д. 8, корп. 1;</w:t>
      </w:r>
    </w:p>
    <w:p>
      <w:pPr>
        <w:pStyle w:val="BodyText"/>
      </w:pPr>
      <w:r>
        <w:rPr>
          <w:bCs/>
          <w:b/>
        </w:rPr>
        <w:t xml:space="preserve">36. г. Москва, б-р Маршала Рокоссовского, д. 13;</w:t>
      </w:r>
    </w:p>
    <w:p>
      <w:pPr>
        <w:pStyle w:val="BodyText"/>
      </w:pPr>
      <w:r>
        <w:rPr>
          <w:bCs/>
          <w:b/>
        </w:rPr>
        <w:t xml:space="preserve">37. г. Москва, б-р Маршала Рокоссовского, д. 17;</w:t>
      </w:r>
    </w:p>
    <w:p>
      <w:pPr>
        <w:pStyle w:val="BodyText"/>
      </w:pPr>
      <w:r>
        <w:rPr>
          <w:bCs/>
          <w:b/>
        </w:rPr>
        <w:t xml:space="preserve">38. г. Москва, б-р Маршала Рокоссовского, д. 19/16;</w:t>
      </w:r>
    </w:p>
    <w:p>
      <w:pPr>
        <w:pStyle w:val="BodyText"/>
      </w:pPr>
      <w:r>
        <w:rPr>
          <w:bCs/>
          <w:b/>
        </w:rPr>
        <w:t xml:space="preserve">39. г. Москва, б-р Маршала Рокоссовского, д. 23;</w:t>
      </w:r>
    </w:p>
    <w:p>
      <w:pPr>
        <w:pStyle w:val="BodyText"/>
      </w:pPr>
      <w:r>
        <w:rPr>
          <w:bCs/>
          <w:b/>
        </w:rPr>
        <w:t xml:space="preserve">40. г. Москва, б-р Маршала Рокоссовского, д. 27/20;</w:t>
      </w:r>
    </w:p>
    <w:p>
      <w:pPr>
        <w:pStyle w:val="BodyText"/>
      </w:pPr>
      <w:r>
        <w:rPr>
          <w:bCs/>
          <w:b/>
        </w:rPr>
        <w:t xml:space="preserve">41. г. Москва, б-р Маршала Рокоссовского, д. 29/13;</w:t>
      </w:r>
    </w:p>
    <w:p>
      <w:pPr>
        <w:pStyle w:val="BodyText"/>
      </w:pPr>
      <w:r>
        <w:rPr>
          <w:bCs/>
          <w:b/>
        </w:rPr>
        <w:t xml:space="preserve">42. г. Москва, ул. Прогонная 2-я, д. 10.</w:t>
      </w:r>
    </w:p>
    <w:p>
      <w:pPr>
        <w:pStyle w:val="BodyText"/>
      </w:pPr>
      <w:r>
        <w:t xml:space="preserve">Информируем Вас о том, что в соответствии с ч. 2 ст. 197 ЖК РФ в адрес управы района Богородское поступило уведомление от 05.10.2020 №МЖИ-10-4683/20 Государственной жилищной инспекции города Москвы (прилагается) о возникновении основания для исключения из реестра лицензий города Москвы сведений о вышеуказанных многоквартирных домах, в виду наличия вступивших в законную силу постановлений об административных правонарушениях, предусмотренных ч. 3 ст. 14.1.3 КоАП РФ, о привлечении ООО «УК ЮНИ-ДОМ» к административной ответственности за осуществление предпринимательской деятельности по управлению многоквартирными домами с грубым нарушением лицензионных требований, предусмотренных пунктом «д» пункта 4(1) Положения о лицензировании утвержденного постановлением Правительства Российской Федерации от 28 октября 2014 г. № 1110 «О лицензировании предпринимательской деятельности по управлению многоквартирными домами» в виду необеспечения своевременных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МКД коммунальных услуг соответствующего вида (Постановления от 26.11.2019 № В-2881/19, вступило в законную силу 06.03.2020, от 13.08.2019 № В-1328/19 вступило в законную силу 29.06.2020).</w:t>
      </w:r>
    </w:p>
    <w:p>
      <w:pPr>
        <w:pStyle w:val="BodyText"/>
      </w:pPr>
      <w:r>
        <w:t xml:space="preserve">Собственники помещений многоквартирного дома вправе в течение 2 (двух) месяцев со дня получения извещения принять решение о продолжении осуществления лицензиатом деятельности по управлению указанным домом или избрать иную управляющую организацию для обслуживания и эксплуатации многоквартирного дома.</w:t>
      </w:r>
    </w:p>
    <w:p>
      <w:pPr>
        <w:pStyle w:val="BodyText"/>
      </w:pPr>
      <w:r>
        <w:t xml:space="preserve">Протокол общего собрания собственников помещений многоквартирного дома необходимо передать в течение 3 рабочих дней со дня оформления протокола в управу района Богородское города Москвы, по адресу: г. Москва, ул. Краснобогатырская, д. 29, корп. 2, каб. 8 А.</w:t>
      </w:r>
    </w:p>
    <w:p>
      <w:pPr>
        <w:pStyle w:val="BodyText"/>
      </w:pPr>
      <w:r>
        <w:t xml:space="preserve">В случае неуведомления лицензирующего органа о решении, сведения о доме будут исключены из реестра лицензий субъекта РФ.</w:t>
      </w:r>
    </w:p>
    <w:p>
      <w:pPr>
        <w:pStyle w:val="BodyText"/>
      </w:pPr>
      <w:r>
        <w:t xml:space="preserve">Управа района Богородское</w:t>
      </w:r>
    </w:p>
    <w:p>
      <w:pPr>
        <w:pStyle w:val="BodyText"/>
      </w:pPr>
      <w:r>
        <w:t xml:space="preserve">06.10.2020</w:t>
      </w:r>
    </w:p>
    <w:p>
      <w:pPr>
        <w:pStyle w:val="BodyText"/>
      </w:pPr>
      <w:hyperlink r:id="rId20">
        <w:r>
          <w:rPr>
            <w:rStyle w:val="Hyperlink"/>
          </w:rPr>
          <w:t xml:space="preserve">О возникновении основания для исключения из реестра лицензий города Москвы сведений о вышеуказанных многоквартирных домах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http://bogorodskoe.mos.ru/housing_and_utilities_sector/news/detail/9300007.html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80;&#1089;&#1100;&#1084;&#1086;%20&#1052;&#1046;&#1048;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housing_and_utilities_sector/news/detail/93000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80;&#1089;&#1100;&#1084;&#1086;%20&#1052;&#1046;&#1048;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housing_and_utilities_sector/news/detail/93000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2023-08-22T18:14:26Z</dcterms:created>
  <dcterms:modified xsi:type="dcterms:W3CDTF">2023-08-22T18:14:26Z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