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557b3edeccc5f70da893c9e3dc9d4ad37f3cc9"/>
    <w:p>
      <w:pPr>
        <w:pStyle w:val="Heading3"/>
      </w:pPr>
      <w:r>
        <w:t xml:space="preserve">Адреса расположения пунктов приема и контейнеров по раздельному сбору отходов в районе Богородское г. Москвы</w:t>
      </w:r>
    </w:p>
    <w:p>
      <w:pPr>
        <w:pStyle w:val="FirstParagraph"/>
      </w:pPr>
      <w:r>
        <w:t xml:space="preserve">31.10.2018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Адреса расположения пунктов приема и контейнеров по раздельному сбору отходов в районе Богородское г. Москвы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http://bogorodskoe.mos.ru/housing_and_utilities_sector/separate-collection-of-waste/detail/7669186.html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presscenter/Photo_2017_1/&#1041;&#1086;&#1075;&#1086;&#1088;&#1086;&#1076;&#1089;&#1082;&#1086;&#1077;.pdf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housing_and_utilities_sector/separate-collection-of-waste/detail/76691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presscenter/Photo_2017_1/&#1041;&#1086;&#1075;&#1086;&#1088;&#1086;&#1076;&#1089;&#1082;&#1086;&#1077;.pdf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housing_and_utilities_sector/separate-collection-of-waste/detail/76691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2023-08-22T18:21:18Z</dcterms:created>
  <dcterms:modified xsi:type="dcterms:W3CDTF">2023-08-22T18:21:18Z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