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раздельный-сбор-мусора"/>
    <w:p>
      <w:pPr>
        <w:pStyle w:val="Heading3"/>
      </w:pPr>
      <w:r>
        <w:t xml:space="preserve">Раздельный сбор мусора</w:t>
      </w:r>
    </w:p>
    <w:p>
      <w:pPr>
        <w:pStyle w:val="FirstParagraph"/>
      </w:pPr>
      <w:r>
        <w:t xml:space="preserve">16.01.2020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http://bogorodskoe.mos.ru/housing_and_utilities_sector/separate-collection-of-waste/detail/8625092.html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separate-collection-of-waste/detail/86250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housing_and_utilities_sector/separate-collection-of-waste/detail/86250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2025-02-20T08:38:02Z</dcterms:created>
  <dcterms:modified xsi:type="dcterms:W3CDTF">2025-02-20T08:38:02Z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