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bbbd8e6ec9b8a8d61af27275c120a6fd402fb"/>
    <w:p>
      <w:pPr>
        <w:pStyle w:val="Heading3"/>
      </w:pPr>
      <w:r>
        <w:t xml:space="preserve">С 1 апреля по 15 июля - работают "Горячие линии" по призыву на воинскую службу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t xml:space="preserve">Для разъяснения порядка исполнения гражданами воинской обязанности в период с 1 апреля по 15 июля 2016 года будет работать «Горячая линия» Правительства Москвы – тел. 8-495-679-19-26. Время работы: рабочие дни с 09.00 до 18.00; предвыходные и предпраздничные дни с 09.00 до 17.00; обеденный перерыв с 13.00 до 14.00</w:t>
      </w:r>
    </w:p>
    <w:p>
      <w:pPr>
        <w:pStyle w:val="BodyText"/>
      </w:pPr>
      <w:r>
        <w:t xml:space="preserve">«Горячая линия» совета родителей военнослужащих города Москвы – тел. 8-495-676-97-57. Время работы с 09.00 до 18.00; предвыходные и предпраздничные дни с 09.00 до 17.00; обеденный перерыв с 13.00 до 14.00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http://bogorodskoe.mos.ru/officially/detail/2678545.html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78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78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2023-08-22T17:47:36Z</dcterms:created>
  <dcterms:modified xsi:type="dcterms:W3CDTF">2023-08-22T17:47:36Z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