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86b7b01a71ce77f6555427be599ef4293e441b"/>
    <w:p>
      <w:pPr>
        <w:pStyle w:val="Heading3"/>
      </w:pPr>
      <w:r>
        <w:t xml:space="preserve">О плате за предоставление сведений из ЕГРН</w:t>
      </w:r>
    </w:p>
    <w:p>
      <w:pPr>
        <w:pStyle w:val="FirstParagraph"/>
      </w:pPr>
      <w:r>
        <w:t xml:space="preserve">16.01.2017</w:t>
      </w:r>
    </w:p>
    <w:p>
      <w:pPr>
        <w:pStyle w:val="BodyText"/>
      </w:pPr>
      <w:r>
        <w:t xml:space="preserve">Филиал ФГБУ «ФКП Росреестра» по Москве (Кадастровая палата по Москве) информирует, что с 1 января 2017 года вступил в силу Федеральный закон от 13.07.2015 № 218-ФЗ «О государственной регистрации недвижимости», который заменил Федеральный закон от 21.07.1997 № 122-ФЗ «О государственной регистрации прав на недвижимое имущество и сделок с ним» и Федеральный закон от 24.07.2007 № 221-ФЗ «О государственном кадастре недвижимости». Новый закон объединил Единый государственный реестр прав и Государственный кадастр недвижимости в Единый государственный реестр недвижимости (ЕГРН).</w:t>
      </w:r>
    </w:p>
    <w:p>
      <w:pPr>
        <w:pStyle w:val="BodyText"/>
      </w:pPr>
      <w:r>
        <w:t xml:space="preserve">Приказом Минэкономразвития России от 20.06.2016 № 378 утверждены формы выписок из ЕГРН: об основных характеристиках и зарегистрированных правах на объект недвижимости; о правах отдельного лица на имевшиеся (имеющиеся) у него объекты недвижимости; о кадастровой стоимости объекта недвижимости и др.</w:t>
      </w:r>
    </w:p>
    <w:p>
      <w:pPr>
        <w:pStyle w:val="BodyText"/>
      </w:pPr>
      <w:r>
        <w:t xml:space="preserve">Приказом Минэкономразвития России от 23.12.2015 № 967 утвержден Порядок взимания и возврата платы за предоставление сведений, содержащихся в ЕГРН, и иной информации. Согласно установленному порядку заявитель вправе представить документы, подтверждающие факт оплаты (квитанция, чек-ордер, платежное поручение с отметкой о его исполнении, иные документы, подтверждающие факт оплаты), в Кадастровую палату по Москве по собственной инициативе в любой момент до получения им сведений, содержащихся в ЕГРН:</w:t>
      </w:r>
    </w:p>
    <w:p>
      <w:pPr>
        <w:pStyle w:val="BodyText"/>
      </w:pPr>
      <w:r>
        <w:t xml:space="preserve">- до подачи запроса;</w:t>
      </w:r>
    </w:p>
    <w:p>
      <w:pPr>
        <w:pStyle w:val="BodyText"/>
      </w:pPr>
      <w:r>
        <w:t xml:space="preserve">- одновременно с подачей запроса;</w:t>
      </w:r>
    </w:p>
    <w:p>
      <w:pPr>
        <w:pStyle w:val="BodyText"/>
      </w:pPr>
      <w:r>
        <w:t xml:space="preserve">- после представления запроса не позднее семи календарных дней с даты получения уникального идентификатора начисления.</w:t>
      </w:r>
    </w:p>
    <w:p>
      <w:pPr>
        <w:pStyle w:val="BodyText"/>
      </w:pPr>
      <w:r>
        <w:t xml:space="preserve">При этом в соответствии с Порядком предоставления сведений, содержащихся в ЕГРН, утвержденным приказом Минэкономразвития от 23.12.2015 № 968, в случае, если оплата вносится после представления запроса, днем получения органом регистрации прав запроса считается день, следующий за днем получения этим органом в установленном порядке сведений об оплате за предоставление сведений, содержащихся в ЕГРН.</w:t>
      </w:r>
      <w:r>
        <w:t xml:space="preserve"> </w:t>
      </w:r>
      <w:bookmarkStart w:id="20" w:name="X1207a264b4c9f4df21fde20366a046b31aef217"/>
      <w:bookmarkEnd w:id="20"/>
      <w:r>
        <w:t xml:space="preserve">Таким образом, Кадастровая палата по Москве рекомендует вносить плату за оказанную услугу до момента или одновременно с подачей запроса. В этом случае срок рассмотрения запроса будет исчисляться со дня его получения Кадастровой палатой по Москве.</w:t>
      </w:r>
    </w:p>
    <w:p>
      <w:pPr>
        <w:pStyle w:val="BodyText"/>
      </w:pPr>
      <w:r>
        <w:t xml:space="preserve">Банковские реквизиты для перечисления платежа: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Наименование получателя</w:t>
            </w:r>
          </w:p>
          <w:p>
            <w:pPr>
              <w:jc w:val="left"/>
            </w:pPr>
            <w:r>
              <w:t xml:space="preserve">(графа заполняется в соответствии с правилами оформления платежных документов)</w:t>
            </w:r>
          </w:p>
        </w:tc>
        <w:tc>
          <w:tcPr/>
          <w:p>
            <w:pPr>
              <w:jc w:val="left"/>
            </w:pPr>
            <w:r>
              <w:t xml:space="preserve">УФК по г.Москве (филиал ФГБУ "ФКП Росреестра" по Москве  л/с 20736Ц09890)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ИНН</w:t>
            </w:r>
          </w:p>
        </w:tc>
        <w:tc>
          <w:tcPr/>
          <w:p>
            <w:pPr>
              <w:jc w:val="left"/>
            </w:pPr>
            <w:r>
              <w:t xml:space="preserve">7705401340</w:t>
            </w:r>
          </w:p>
        </w:tc>
      </w:tr>
      <w:tr>
        <w:tc>
          <w:tcPr/>
          <w:p>
            <w:pPr>
              <w:jc w:val="left"/>
            </w:pPr>
            <w:r>
              <w:t xml:space="preserve">КПП</w:t>
            </w:r>
          </w:p>
        </w:tc>
        <w:tc>
          <w:tcPr/>
          <w:p>
            <w:pPr>
              <w:jc w:val="left"/>
            </w:pPr>
            <w:r>
              <w:t xml:space="preserve">772043001</w:t>
            </w:r>
          </w:p>
        </w:tc>
      </w:tr>
      <w:tr>
        <w:tc>
          <w:tcPr/>
          <w:p>
            <w:pPr>
              <w:jc w:val="left"/>
            </w:pPr>
            <w:r>
              <w:t xml:space="preserve">Наименование банка</w:t>
            </w:r>
          </w:p>
        </w:tc>
        <w:tc>
          <w:tcPr/>
          <w:p>
            <w:pPr>
              <w:jc w:val="left"/>
            </w:pPr>
            <w:r>
              <w:t xml:space="preserve">Отделение 1 Москва</w:t>
            </w:r>
          </w:p>
        </w:tc>
      </w:tr>
      <w:tr>
        <w:tc>
          <w:tcPr/>
          <w:p>
            <w:pPr>
              <w:jc w:val="left"/>
            </w:pPr>
            <w:r>
              <w:t xml:space="preserve">БИК</w:t>
            </w:r>
          </w:p>
        </w:tc>
        <w:tc>
          <w:tcPr/>
          <w:p>
            <w:pPr>
              <w:jc w:val="left"/>
            </w:pPr>
            <w:r>
              <w:t xml:space="preserve">044583001</w:t>
            </w:r>
          </w:p>
        </w:tc>
      </w:tr>
      <w:tr>
        <w:tc>
          <w:tcPr/>
          <w:p>
            <w:pPr>
              <w:jc w:val="left"/>
            </w:pPr>
            <w:r>
              <w:t xml:space="preserve">Номер счета</w:t>
            </w:r>
          </w:p>
        </w:tc>
        <w:tc>
          <w:tcPr/>
          <w:p>
            <w:pPr>
              <w:jc w:val="left"/>
            </w:pPr>
            <w:r>
              <w:t xml:space="preserve">40501810600002000079</w:t>
            </w:r>
          </w:p>
        </w:tc>
      </w:tr>
      <w:tr>
        <w:tc>
          <w:tcPr/>
          <w:p>
            <w:pPr>
              <w:jc w:val="left"/>
            </w:pPr>
            <w:r>
              <w:t xml:space="preserve">ОКТМО</w:t>
            </w:r>
          </w:p>
        </w:tc>
        <w:tc>
          <w:tcPr/>
          <w:p>
            <w:pPr>
              <w:jc w:val="left"/>
            </w:pPr>
            <w:r>
              <w:t xml:space="preserve">45309000</w:t>
            </w:r>
          </w:p>
        </w:tc>
      </w:tr>
      <w:tr>
        <w:tc>
          <w:tcPr/>
          <w:p>
            <w:pPr>
              <w:jc w:val="left"/>
            </w:pPr>
            <w:r>
              <w:t xml:space="preserve">КБК</w:t>
            </w:r>
          </w:p>
        </w:tc>
        <w:tc>
          <w:tcPr/>
          <w:p>
            <w:pPr>
              <w:jc w:val="left"/>
            </w:pPr>
            <w:r>
              <w:t xml:space="preserve">00000000000000000130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 Кадастровой палате по Москве</w:t>
      </w:r>
    </w:p>
    <w:p>
      <w:pPr>
        <w:pStyle w:val="BodyText"/>
      </w:pPr>
      <w:r>
        <w:t xml:space="preserve">Кадастровая палата по Москве (филиал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Москве) – обособленное подразделение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(ФГБУ «ФКП Росреестра»).</w:t>
      </w:r>
    </w:p>
    <w:p>
      <w:pPr>
        <w:pStyle w:val="BodyText"/>
      </w:pPr>
      <w:r>
        <w:t xml:space="preserve">Кадастровая палата по Москве реализует на территории Москвы полномочия ФГБУ «ФКП Росреестра» по приему-выдаче документов на государственный кадастровый учет и государственную регистрацию прав на недвижимое имущество, а также предоставлению сведений, содержащихся в Едином государственном реестре недвижимости.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http://bogorodskoe.mos.ru/officially/detail/4686035.html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officially/detail/46860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officially/detail/46860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2025-07-25T05:07:10Z</dcterms:created>
  <dcterms:modified xsi:type="dcterms:W3CDTF">2025-07-25T05:07:10Z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