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89b2e2985b786eadfa73947e4f26ecbc6f637"/>
    <w:p>
      <w:pPr>
        <w:pStyle w:val="Heading3"/>
      </w:pPr>
      <w:r>
        <w:t xml:space="preserve">Бесплатная вакцинация домашних животных против бешенства</w:t>
      </w:r>
    </w:p>
    <w:p>
      <w:pPr>
        <w:pStyle w:val="FirstParagraph"/>
      </w:pPr>
      <w:r>
        <w:t xml:space="preserve">28.03.2018</w:t>
      </w:r>
    </w:p>
    <w:p>
      <w:pPr>
        <w:pStyle w:val="BodyText"/>
      </w:pPr>
      <w:r>
        <w:drawing>
          <wp:inline>
            <wp:extent cx="2286000" cy="32522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resscenter/Анонсы/270320180959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2522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http://bogorodskoe.mos.ru/presscenter/inform/detail/7225672.html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inform/detail/7225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inform/detail/7225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2025-05-12T03:02:51Z</dcterms:created>
  <dcterms:modified xsi:type="dcterms:W3CDTF">2025-05-12T03:02:51Z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