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cda590ff79d04642c2f43f80fc948648121d6"/>
    <w:p>
      <w:pPr>
        <w:pStyle w:val="Heading3"/>
      </w:pPr>
      <w:r>
        <w:t xml:space="preserve">Во дворе на 1-й Гражданской отремонтировали качели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drawing>
          <wp:inline>
            <wp:extent cx="5334000" cy="35837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12d/basket_swing_g53a286525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3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Жительница дома № 101 на 1-й Гражданской улице рассказала в интернете, что на детской площадке в её дворе по неизвестной причине отсутствуют качели.</w:t>
      </w:r>
    </w:p>
    <w:p>
      <w:pPr>
        <w:pStyle w:val="BodyText"/>
      </w:pPr>
      <w:r>
        <w:t xml:space="preserve">На её обращение оперативно отреагировали сотрудники ГБУ «Жилищник района Богородское» и объяснили, что по указанному адресу были выполнены работы по ремонту конструктивных элементов МАФ. После ремонта качели повесили на прежнее место.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http://bogorodskoe.mos.ru/presscenter/news/detail/10716958.html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10716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10716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2024-11-28T14:59:11Z</dcterms:created>
  <dcterms:modified xsi:type="dcterms:W3CDTF">2024-11-28T14:59:11Z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