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6d014c00bed85c1cb7ad5346fa2c400bd509fc"/>
    <w:p>
      <w:pPr>
        <w:pStyle w:val="Heading3"/>
      </w:pPr>
      <w:r>
        <w:t xml:space="preserve">Предпринимателям расскажут, как получить тендер на подряд Фонда капремонта Москвы</w:t>
      </w:r>
    </w:p>
    <w:p>
      <w:pPr>
        <w:pStyle w:val="FirstParagraph"/>
      </w:pPr>
      <w:r>
        <w:t xml:space="preserve">14.06.2016</w:t>
      </w:r>
    </w:p>
    <w:p>
      <w:pPr>
        <w:pStyle w:val="BodyText"/>
      </w:pPr>
      <w:r>
        <w:drawing>
          <wp:inline>
            <wp:extent cx="5334000" cy="345765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Подрядчик%20Фонда%20капитального%20ремонта%20с%20сайта%20tender.mos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57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Потенциальным подрядчикам Фонда капитального ремонта Москвы расскажут о предварительном отборе и участии в тендерах в рамках проекта «Биржа торгов».</w:t>
      </w:r>
    </w:p>
    <w:p>
      <w:pPr>
        <w:pStyle w:val="BodyText"/>
      </w:pPr>
      <w:r>
        <w:t xml:space="preserve">Готовность к открытому диалогу с теми, кто заинтересован в работе с городом, отметила начальник Управления «Контрактная служба» Фонда капитального ремонта многоквартирных домов Евгения Ерохина.</w:t>
      </w:r>
    </w:p>
    <w:p>
      <w:pPr>
        <w:pStyle w:val="BodyText"/>
      </w:pPr>
      <w:r>
        <w:t xml:space="preserve">- Пул более чем из 250 подрядных организацией сформирован по итогам двух проведенных предварительных отборов. Москва заинтересована в привлечении большего количества подрядных организаций, - заявила она.</w:t>
      </w:r>
    </w:p>
    <w:p>
      <w:pPr>
        <w:pStyle w:val="BodyText"/>
      </w:pPr>
      <w:r>
        <w:t xml:space="preserve">По словам Евгении Ерохиной, высокий уровень конкуренции обеспечит экономию средств с сохранением качества. Прием заявок на ближайший предварительный отбор продлится с 20 июня до 1 июля 2016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http://bogorodskoe.mos.ru/presscenter/news/detail/3153984.html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1539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1539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2023-09-20T06:34:35Z</dcterms:created>
  <dcterms:modified xsi:type="dcterms:W3CDTF">2023-09-20T06:34:35Z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