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5d30c782f8ba60d26f395cdd0a6cac6b33317"/>
    <w:p>
      <w:pPr>
        <w:pStyle w:val="Heading3"/>
      </w:pPr>
      <w:r>
        <w:t xml:space="preserve">За 2016 год реализовано 11 объектов затянувшегося строительства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drawing>
          <wp:inline>
            <wp:extent cx="5334000" cy="41949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Объекты%20долгостроя.%20Фото%20с%20сайта%20dgp.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4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2016 год из московского Перечня незавершенного строительства и долгостроя исчезло 37 строительных объектов.</w:t>
      </w:r>
    </w:p>
    <w:p>
      <w:pPr>
        <w:pStyle w:val="BodyText"/>
      </w:pPr>
      <w:r>
        <w:t xml:space="preserve">11 было введено в работу, на 11 заброшенных было стройках возобновились работы, а реализация 13 признана нецелесообразной, и территория была очищена и благоустроена. Наконец, два объекта расценены как самострой, сообщил глава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В числе введенных в работу оказались Московский городской дворец творчества детей и молодежи ГОУ "На Полянке", административное здание в Хоромном тупике и Центральная стоматологическая поликлиника ФСБ России на улице Малая Лубянка. 14 исключенных из Перечня объектов находятся в Центральном округе Москвы.</w:t>
      </w:r>
    </w:p>
    <w:p>
      <w:pPr>
        <w:pStyle w:val="BodyText"/>
      </w:pPr>
      <w:r>
        <w:t xml:space="preserve">- За время работы оперативной группы, созданной по поручению мэра Москвы Сергея Собянина для избавления столицы от объектов незавершенного строительства и долгостроя, на сегодня отработаны 362 объекта, требуется решение еще по 306 объектам, - добавил С. Левкин.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http://bogorodskoe.mos.ru/presscenter/news/detail/3686421.html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686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686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2023-08-10T19:12:26Z</dcterms:created>
  <dcterms:modified xsi:type="dcterms:W3CDTF">2023-08-10T19:12:26Z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