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019ae3d633626407d946c665ee8b2749a6e36"/>
    <w:p>
      <w:pPr>
        <w:pStyle w:val="Heading3"/>
      </w:pPr>
      <w:r>
        <w:t xml:space="preserve">На четверть вырос объем ввода торговой недвижимости</w:t>
      </w:r>
    </w:p>
    <w:p>
      <w:pPr>
        <w:pStyle w:val="FirstParagraph"/>
      </w:pPr>
      <w:r>
        <w:t xml:space="preserve">25.10.2016</w:t>
      </w:r>
    </w:p>
    <w:p>
      <w:pPr>
        <w:pStyle w:val="BodyText"/>
      </w:pPr>
      <w:r>
        <w:t xml:space="preserve">В столице за 9 месяцев 2016 года ведено в эксплуатацию более 470 тысяч квадратных метров, которая предназначается для торговли. Эти данные сообщает mskagency.ru, давая ссылку на информацию входящей в ТОП-5 ведущих мировых брендов на рынке коммерческой недвижимости компании NAI Becar.</w:t>
      </w:r>
    </w:p>
    <w:p>
      <w:pPr>
        <w:pStyle w:val="BodyText"/>
      </w:pPr>
      <w:r>
        <w:t xml:space="preserve">Указывается, что по сравнению с первыми 9 месяцами 2015 года этот показатель вырос практически на четверть. В 2015 году эта цифра за аналогичный период составляла 280 тысяч квадратных метров.</w:t>
      </w:r>
    </w:p>
    <w:p>
      <w:pPr>
        <w:pStyle w:val="BodyText"/>
      </w:pPr>
      <w:r>
        <w:t xml:space="preserve">В сообщении представлена информация о введении в эксплуатацию шести торговых комплексов за последние 6 месяцев. Общая площадь этих торговых комплексов составляет 100 тысяч квадратных метров.</w:t>
      </w:r>
    </w:p>
    <w:p>
      <w:pPr>
        <w:pStyle w:val="BodyText"/>
      </w:pPr>
      <w:r>
        <w:t xml:space="preserve">До конца текущего года предполагается ввести в эксплуатацию еще порядка 250 тысяч квадратных метров, что увеличит годовой объём ввода торговых площадей до 650 тысяч квадратных метров.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http://bogorodskoe.mos.ru/presscenter/news/detail/4036744.html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4036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4036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2024-05-21T01:57:07Z</dcterms:created>
  <dcterms:modified xsi:type="dcterms:W3CDTF">2024-05-21T01:57:07Z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