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2c920f47e4d9f4ea8abce1efa8467e47e3449d"/>
    <w:p>
      <w:pPr>
        <w:pStyle w:val="Heading3"/>
      </w:pPr>
      <w:r>
        <w:t xml:space="preserve">Противодействие терроризму в Российской Федерации</w:t>
      </w:r>
    </w:p>
    <w:p>
      <w:pPr>
        <w:pStyle w:val="FirstParagraph"/>
      </w:pPr>
      <w:r>
        <w:t xml:space="preserve">10.08.2021</w:t>
      </w:r>
    </w:p>
    <w:p>
      <w:pPr>
        <w:pStyle w:val="BodyText"/>
      </w:pPr>
      <w:r>
        <w:t xml:space="preserve">В </w:t>
      </w:r>
      <w:hyperlink r:id="rId20">
        <w:r>
          <w:rPr>
            <w:rStyle w:val="Hyperlink"/>
          </w:rPr>
          <w:t xml:space="preserve">сборнике учебных материалов</w:t>
        </w:r>
      </w:hyperlink>
      <w:r>
        <w:t xml:space="preserve"> раскрываются понятие, сущность и особенности современного терроризма, структура, правовые и организационные основы общегосударственной системы противодействия терроризму в Российской Федерации, а также деятельность органов государственной власти и местного самоуправления на конкретных направлениях противодействия терроризму.</w:t>
      </w:r>
    </w:p>
    <w:p>
      <w:pPr>
        <w:pStyle w:val="BodyText"/>
      </w:pPr>
      <w:r>
        <w:t xml:space="preserve">Материалы рекомендованы для использования в образовательном процессе, организованном учебно-методическими центрами дополнительного профессионального образования федеральных государственных гражданских служащих, государственных гражданских служащих субъектов Российской Федерации и муниципальных служащих, участвующих в рамках своих полномочий в реализации мероприятий по профилактике терроризма.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http://bogorodskoe.mos.ru/security_and_law_and_order/bezopasnost/detail/10169547.html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sbornik_uchebnyh_materialov_protivodeystvie_terrorizmu_v_rossiyskoy_federacii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101695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sbornik_uchebnyh_materialov_protivodeystvie_terrorizmu_v_rossiyskoy_federacii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101695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2023-09-20T19:17:20Z</dcterms:created>
  <dcterms:modified xsi:type="dcterms:W3CDTF">2023-09-20T19:17:20Z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