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72e1e344157e2483ec3c29cd0b64d48330c6f28"/>
    <w:p>
      <w:pPr>
        <w:pStyle w:val="Heading3"/>
      </w:pPr>
      <w:r>
        <w:t xml:space="preserve">МЧС Москвы напоминает: не оставляйте включенные электроприборы без внимания</w:t>
      </w:r>
    </w:p>
    <w:p>
      <w:pPr>
        <w:pStyle w:val="FirstParagraph"/>
      </w:pPr>
      <w:r>
        <w:t xml:space="preserve">29.10.2021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891/banner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922/banner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ec6/banner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http://bogorodskoe.mos.ru/security_and_law_and_order/detail/10363928.html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hyperlink" Id="rId30" Target="http://bogorodskoe.mos.ru" TargetMode="External" /><Relationship Type="http://schemas.openxmlformats.org/officeDocument/2006/relationships/hyperlink" Id="rId29" Target="http://bogorodskoe.mos.ru/security_and_law_and_order/detail/103639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bogorodskoe.mos.ru" TargetMode="External" /><Relationship Type="http://schemas.openxmlformats.org/officeDocument/2006/relationships/hyperlink" Id="rId29" Target="http://bogorodskoe.mos.ru/security_and_law_and_order/detail/103639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2024-12-04T00:59:19Z</dcterms:created>
  <dcterms:modified xsi:type="dcterms:W3CDTF">2024-12-04T00:59:19Z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