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f9829a5855fba2d6174c46a8e6bfac2000ec7b"/>
    <w:p>
      <w:pPr>
        <w:pStyle w:val="Heading3"/>
      </w:pPr>
      <w:r>
        <w:t xml:space="preserve">ГУ МЧС России по г. Москве напоминает: правила пожарной безопасности в осенний период</w:t>
      </w:r>
    </w:p>
    <w:p>
      <w:pPr>
        <w:pStyle w:val="FirstParagraph"/>
      </w:pPr>
      <w:r>
        <w:t xml:space="preserve">29.10.2021</w:t>
      </w:r>
    </w:p>
    <w:p>
      <w:pPr>
        <w:pStyle w:val="BodyText"/>
      </w:pPr>
      <w:r>
        <w:drawing>
          <wp:inline>
            <wp:extent cx="5334000" cy="790450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e16/osenniy_pozharoopasnyy_period_187kh277_cr-_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9045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http://bogorodskoe.mos.ru/security_and_law_and_order/detail/10363948.html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103639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103639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2024-10-09T04:42:52Z</dcterms:created>
  <dcterms:modified xsi:type="dcterms:W3CDTF">2024-10-09T04:42:52Z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