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авила-поведения-при-пожаре-в-автобусе"/>
    <w:p>
      <w:pPr>
        <w:pStyle w:val="Heading3"/>
      </w:pPr>
      <w:r>
        <w:t xml:space="preserve">Правила поведения при пожаре в автобусе</w:t>
      </w:r>
    </w:p>
    <w:p>
      <w:pPr>
        <w:pStyle w:val="FirstParagraph"/>
      </w:pPr>
      <w:r>
        <w:t xml:space="preserve">11.02.2022</w:t>
      </w:r>
    </w:p>
    <w:p>
      <w:pPr>
        <w:pStyle w:val="BodyText"/>
      </w:pPr>
      <w:r>
        <w:drawing>
          <wp:inline>
            <wp:extent cx="5334000" cy="66691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0e/pravila-povedeniya-pri-pozhare-v-avtobus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6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http://bogorodskoe.mos.ru/security_and_law_and_order/detail/10614735.html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6147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6147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2024-11-22T03:14:29Z</dcterms:created>
  <dcterms:modified xsi:type="dcterms:W3CDTF">2024-11-22T03:14:29Z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