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-правилах-пользования-фейерверком."/>
    <w:p>
      <w:pPr>
        <w:pStyle w:val="Heading3"/>
      </w:pPr>
      <w:r>
        <w:t xml:space="preserve">О правилах пользования фейерверком.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drawing>
          <wp:inline>
            <wp:extent cx="5334000" cy="72633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3cd/1bep200o5r79gnjvcc05txgarlgbnpea/photo_5265031766731768139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63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604/bfggqeefswgn1hldjbb5pzvxmk6yoxdh/photo_5265031766731768138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http://bogorodskoe.mos.ru/security_and_law_and_order/detail/11309057.html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ecurity_and_law_and_order/detail/11309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ecurity_and_law_and_order/detail/11309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2025-07-19T15:50:12Z</dcterms:created>
  <dcterms:modified xsi:type="dcterms:W3CDTF">2025-07-19T15:50:12Z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