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5832286013d465f6bd0a0aac0337f446fbeb2"/>
    <w:p>
      <w:pPr>
        <w:pStyle w:val="Heading3"/>
      </w:pPr>
      <w:r>
        <w:t xml:space="preserve">Преображенская межрайонная прокуратура г. Москвы разъясняет: «Ответственность за распространение экстремистских материалов, а также их производство или хранение в целях распространения»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</w:t>
      </w:r>
    </w:p>
    <w:p>
      <w:pPr>
        <w:pStyle w:val="BodyText"/>
      </w:pPr>
      <w:r>
        <w:t xml:space="preserve">Федеральным законом от 25.07.2002 № 114-ФЗ «О противодействии экстремистской деятельности» определено, что экстремистскими материалами являются предназначенные для распространения либо публичного демонстрирования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выступления, изображения руководителей групп, организаций или движений, признанных преступными в соответствии с приговором Международного военного трибунала для суда и наказания главных военных преступников европейских стран оси (Нюрнбергского трибунала), выступления, изображения руководителей организаций, сотрудничавших с указанными группами, организациями или движениями,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>
      <w:pPr>
        <w:pStyle w:val="BodyText"/>
      </w:pPr>
      <w:r>
        <w:t xml:space="preserve">Так, предусмотрена административная ответственность за массовое распространение признанных запрещёнными экстремистских материалов; за пропаганду либо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>
      <w:pPr>
        <w:pStyle w:val="BodyText"/>
      </w:pPr>
      <w:r>
        <w:t xml:space="preserve">Уголовная ответственность предусмотрена за публичные призывы к осуществлению экстремистской деятельности; возбуждение ненависти либо вражды, а равно унижение человеческого достоинства; организацию экстремистского сообщества, организацию деятельности экстремистской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http://bogorodskoe.mos.ru/security_and_law_and_order/detail/11506881.html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506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506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2024-11-29T03:27:46Z</dcterms:created>
  <dcterms:modified xsi:type="dcterms:W3CDTF">2024-11-29T03:27:46Z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