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памятка-по-безопасности-на-воде"/>
    <w:p>
      <w:pPr>
        <w:pStyle w:val="Heading3"/>
      </w:pPr>
      <w:r>
        <w:t xml:space="preserve">Памятка по безопасности на воде</w:t>
      </w:r>
    </w:p>
    <w:p>
      <w:pPr>
        <w:pStyle w:val="FirstParagraph"/>
      </w:pPr>
      <w:r>
        <w:t xml:space="preserve">26.05.2023</w:t>
      </w:r>
    </w:p>
    <w:p>
      <w:pPr>
        <w:pStyle w:val="BodyText"/>
      </w:pPr>
      <w:r>
        <w:drawing>
          <wp:inline>
            <wp:extent cx="5334000" cy="380255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upload/medialibrary/498/1x9yca6oo85pcj2737zi7efginajs2n3/ne_dlya_sotssetei_774_Buklet_Bezopasnost_na_vode_letom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025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http://bogorodskoe.mos.ru/security_and_law_and_order/detail/11611967.html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security_and_law_and_order/detail/1161196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security_and_law_and_order/detail/1161196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2024-04-10T20:11:28Z</dcterms:created>
  <dcterms:modified xsi:type="dcterms:W3CDTF">2024-04-10T20:11:28Z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