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как-не-допустить-лесной-пожар"/>
    <w:p>
      <w:pPr>
        <w:pStyle w:val="Heading3"/>
      </w:pPr>
      <w:r>
        <w:t xml:space="preserve">Как не допустить лесной пожар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Как%20не%20допустить%20лесной%20пожар_page-0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Как%20не%20допустить%20лесной%20пожар_page-000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ogorodskoe.mos.ru/www/Как%20не%20допустить%20лесной%20пожар_page-000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bogorodskoe.mos.ru/www/Как%20не%20допустить%20лесной%20пожар_page-000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933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bogorodskoe.mos.ru/www/Как%20не%20допустить%20лесной%20пожар_page-0001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http://bogorodskoe.mos.ru/security_and_law_and_order/detail/12336040.html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6" Target="http://bogorodskoe.mos.ru" TargetMode="External" /><Relationship Type="http://schemas.openxmlformats.org/officeDocument/2006/relationships/hyperlink" Id="rId35" Target="http://bogorodskoe.mos.ru/security_and_law_and_order/detail/123360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bogorodskoe.mos.ru" TargetMode="External" /><Relationship Type="http://schemas.openxmlformats.org/officeDocument/2006/relationships/hyperlink" Id="rId35" Target="http://bogorodskoe.mos.ru/security_and_law_and_order/detail/123360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2024-04-24T08:52:50Z</dcterms:created>
  <dcterms:modified xsi:type="dcterms:W3CDTF">2024-04-24T08:52:50Z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