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015bfd0ce663f13cac776b933b37abcd271bac"/>
    <w:p>
      <w:pPr>
        <w:pStyle w:val="Heading3"/>
      </w:pPr>
      <w:r>
        <w:t xml:space="preserve">Прокурор Восточного административного округа города Москвы разъясняет: памятка на тему "Я выбираю жизнь!"</w:t>
      </w:r>
    </w:p>
    <w:p>
      <w:pPr>
        <w:pStyle w:val="FirstParagraph"/>
      </w:pPr>
      <w:r>
        <w:t xml:space="preserve">18.11.2024</w:t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ogorodskoe.mos.ru/www/Preview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http://bogorodskoe.mos.ru/security_and_law_and_order/bezopasnost/detail/12665712.html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security_and_law_and_order/bezopasnost/detail/126657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security_and_law_and_order/bezopasnost/detail/126657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2025-05-14T21:54:07Z</dcterms:created>
  <dcterms:modified xsi:type="dcterms:W3CDTF">2025-05-14T21:54:07Z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