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b2f4cdf14f15b2c751561b7c35147d40fbe5fc"/>
    <w:p>
      <w:pPr>
        <w:pStyle w:val="Heading3"/>
      </w:pPr>
      <w:r>
        <w:t xml:space="preserve">Прокурор Восточного административного округа города Москвы разъясняет: памятка на тему "Свалка мусора запрещена! Ответственность за незаконные свалки"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view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547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Preview%20(2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5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http://bogorodskoe.mos.ru/security_and_law_and_order/bezopasnost/detail/12665714.html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ecurity_and_law_and_order/bezopasnost/detail/12665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ecurity_and_law_and_order/bezopasnost/detail/12665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2024-11-24T15:41:03Z</dcterms:created>
  <dcterms:modified xsi:type="dcterms:W3CDTF">2024-11-24T15:41:03Z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