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ожарная-безопасность-в-подъездах"/>
    <w:p>
      <w:pPr>
        <w:pStyle w:val="Heading3"/>
      </w:pPr>
      <w:r>
        <w:t xml:space="preserve">Пожарная безопасность в подъездах</w:t>
      </w:r>
    </w:p>
    <w:p>
      <w:pPr>
        <w:pStyle w:val="FirstParagraph"/>
      </w:pPr>
      <w:r>
        <w:t xml:space="preserve">27.03.2025</w:t>
      </w:r>
    </w:p>
    <w:p>
      <w:pPr>
        <w:pStyle w:val="BodyText"/>
      </w:pPr>
      <w:r>
        <w:drawing>
          <wp:inline>
            <wp:extent cx="5334000" cy="37709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Пожарная_безопасность_в_подъездах_А4_гориз_RGB_300dp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http://bogorodskoe.mos.ru/security_and_law_and_order/detail/12879895.html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28798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28798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2025-05-11T22:24:55Z</dcterms:created>
  <dcterms:modified xsi:type="dcterms:W3CDTF">2025-05-11T22:24:55Z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