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194b8cf8f952295c00602082b4bb1b06a6256c"/>
    <w:p>
      <w:pPr>
        <w:pStyle w:val="Heading3"/>
      </w:pPr>
      <w:r>
        <w:t xml:space="preserve">Преображенская межрайонная прокуратура г. Москвы разъясняет</w:t>
      </w:r>
    </w:p>
    <w:p>
      <w:pPr>
        <w:pStyle w:val="FirstParagraph"/>
      </w:pPr>
      <w:r>
        <w:t xml:space="preserve">09.07.2018</w:t>
      </w:r>
    </w:p>
    <w:p>
      <w:pPr>
        <w:pStyle w:val="BodyText"/>
      </w:pPr>
      <w:r>
        <w:t xml:space="preserve">Низкая правовая грамотность населения не позволяет задуматься о том, что действия порой становятся наказуемыми. Однако, как известно, незнание закона не освобождает от ответственности.</w:t>
      </w:r>
    </w:p>
    <w:p>
      <w:pPr>
        <w:pStyle w:val="BodyText"/>
      </w:pPr>
      <w:r>
        <w:t xml:space="preserve">И правонарушение, и преступление влекут ту или иную ответственность.</w:t>
      </w:r>
    </w:p>
    <w:p>
      <w:pPr>
        <w:pStyle w:val="BodyText"/>
      </w:pPr>
      <w:r>
        <w:t xml:space="preserve">Так, преступления – это самые серьезные нарушения закона и виды наказаний за их совершение установлены Уголовным кодексом Российской Федерации. Ответственность за административные правонарушения предусмотрена Кодексом Российской Федерации об административных правонарушениях. Кроме того, гражданское законодательство также устанавливает материальную ответственность за действия, причинившие вред или ущерб государству, организациям или другим гражданам.</w:t>
      </w:r>
    </w:p>
    <w:p>
      <w:pPr>
        <w:pStyle w:val="BodyText"/>
      </w:pPr>
      <w:r>
        <w:t xml:space="preserve">Все перечисленные виды ответственности распространяются и на несовершеннолетних, но с теми или иными особенностями применения, которые устанавливаются законом.</w:t>
      </w:r>
    </w:p>
    <w:p>
      <w:pPr>
        <w:pStyle w:val="BodyText"/>
      </w:pPr>
      <w:r>
        <w:t xml:space="preserve">Преступление и административное правонарушение — это деяния вредоносные, противоправные, виновные и наказуемые.</w:t>
      </w:r>
    </w:p>
    <w:p>
      <w:pPr>
        <w:pStyle w:val="BodyText"/>
      </w:pPr>
      <w:r>
        <w:t xml:space="preserve">Преступления причиняют больший вред, они более дерзкие, последствия от них серьезнее в сравнении с правонарушениями и проступками. Поэтому в ряде случаев одни и те же действия в зависимости от последствий законодателем рассматриваются либо как правонарушения, либо как преступления.</w:t>
      </w:r>
    </w:p>
    <w:p>
      <w:pPr>
        <w:pStyle w:val="BodyText"/>
      </w:pPr>
      <w:r>
        <w:t xml:space="preserve">К примеру, можно сравнить конкретные нормы закона.</w:t>
      </w:r>
    </w:p>
    <w:p>
      <w:pPr>
        <w:pStyle w:val="BodyText"/>
      </w:pPr>
      <w:r>
        <w:t xml:space="preserve">Кодексом об административных правонарушениях Российской Федерации предусмотрена ответственность за нарушение общественного порядка, потребление алкогольной продукции и курение в общественных местах, умышленное повреждение или уничтожение чужого имущества.</w:t>
      </w:r>
    </w:p>
    <w:p>
      <w:pPr>
        <w:pStyle w:val="BodyText"/>
      </w:pPr>
      <w:r>
        <w:t xml:space="preserve">Так, в соответствии со статьей 20.1 КоАП РФ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влечет наложение административного штрафа в размере от пятисот до одной тысячи пятисот рублей или административного ареста на срок до 15 суток.</w:t>
      </w:r>
    </w:p>
    <w:p>
      <w:pPr>
        <w:pStyle w:val="BodyText"/>
      </w:pPr>
      <w:r>
        <w:t xml:space="preserve">Статьей 20.20 КоАП РФ установлена ответственность за потребление (распитие) алкогольной продукции в местах, запрещенных федеральным законом, в том числе во дворах, в подъездах, на лестницах, лестничных площадках, в лифтах жилых домов, на детских площадках. За данное правонарушение предусмотрен административный штраф в размере от пятисот до одной тысячи пятисот рублей.</w:t>
      </w:r>
    </w:p>
    <w:p>
      <w:pPr>
        <w:pStyle w:val="BodyText"/>
      </w:pPr>
      <w:r>
        <w:t xml:space="preserve">За появление на улицах, стадионах, в скверах, парках, в транспортном средстве общего пользования и других общественных местах в состоянии опьянения, оскорбляющем человеческое достоинство и общественную нравственность (ст. 20.21 КоАП РФ) может последовать административный штраф в размере от пятисот до одной тысячи пятисот рублей или административный арест на срок до пятнадцати суток.</w:t>
      </w:r>
    </w:p>
    <w:p>
      <w:pPr>
        <w:pStyle w:val="BodyText"/>
      </w:pPr>
      <w:r>
        <w:t xml:space="preserve">Помимо указанных составов административных правонарушений, отнесенных законом к посягающим на общественный порядок и общественную безопасность, стоит обратить внимание на ряд других запрещенных деяний, ответственность за которые также установлена Кодексом об административных правонарушениях Российской Федерации.</w:t>
      </w:r>
    </w:p>
    <w:p>
      <w:pPr>
        <w:pStyle w:val="BodyText"/>
      </w:pPr>
      <w:r>
        <w:t xml:space="preserve">Статьей 6.24 КоАП РФ предусмотрена ответственность за нарушение установленного федеральным законом запрета курения табака на отдельных территориях, в помещениях и на объектах, в том числе в лифтах и помещениях общего пользования многоквартирных домов (часть 1), на детских площадках (часть 2). Данные деяния влекут за собой наложение административного штрафа на граждан в размере от пятисот до одной тысячи пятисот рублей (по части 1), или в размере от двух тысяч до трех тысяч рублей (по части 2).</w:t>
      </w:r>
    </w:p>
    <w:p>
      <w:pPr>
        <w:pStyle w:val="BodyText"/>
      </w:pPr>
      <w:r>
        <w:t xml:space="preserve">Умышленное уничтожение или повреждение чужого имущества, если эти действия не повлекли причинение значительного ущерба (ст. 7.17 КоАП РФ), влечет наложение административного штрафа в размере от трехсот до пятисот рублей.</w:t>
      </w:r>
    </w:p>
    <w:p>
      <w:pPr>
        <w:pStyle w:val="BodyText"/>
      </w:pPr>
      <w:r>
        <w:t xml:space="preserve">Рассматривать дела и составлять протоколы об административных правонарушениях, предусмотренных статьями 6.24, 7.17, 20.1, 20.20, 20.21 КоАП РФ уполномочены должностные лица органов внутренних дел (полиции).</w:t>
      </w:r>
    </w:p>
    <w:p>
      <w:pPr>
        <w:pStyle w:val="BodyText"/>
      </w:pPr>
      <w:r>
        <w:t xml:space="preserve">В связи с этим по фактам совершения лицами правонарушений, предусмотренных перечисленными статьями, необходимо обращаться в органы полиции.</w:t>
      </w:r>
    </w:p>
    <w:p>
      <w:pPr>
        <w:pStyle w:val="BodyText"/>
      </w:pPr>
      <w:r>
        <w:rPr>
          <w:bCs/>
          <w:b/>
        </w:rPr>
        <w:t xml:space="preserve"> </w:t>
      </w:r>
    </w:p>
    <w:p>
      <w:pPr>
        <w:pStyle w:val="BodyText"/>
      </w:pPr>
      <w:r>
        <w:rPr>
          <w:bCs/>
          <w:b/>
        </w:rPr>
        <w:t xml:space="preserve">Уголовный кодекс Российской Федерации: </w:t>
      </w:r>
    </w:p>
    <w:p>
      <w:pPr>
        <w:pStyle w:val="BodyText"/>
      </w:pPr>
      <w:r>
        <w:rPr>
          <w:bCs/>
          <w:b/>
        </w:rPr>
        <w:t xml:space="preserve"> </w:t>
      </w:r>
    </w:p>
    <w:p>
      <w:pPr>
        <w:pStyle w:val="BodyText"/>
      </w:pPr>
      <w:r>
        <w:t xml:space="preserve">Так, например, под хулиганством понимают грубое нарушение общественного порядка, выражающее явное неуважение к обществу.</w:t>
      </w:r>
    </w:p>
    <w:p>
      <w:pPr>
        <w:pStyle w:val="BodyText"/>
      </w:pPr>
      <w:r>
        <w:t xml:space="preserve">Грубым следует признать такое нарушение общественного порядка, которое влечет причинение существенного вреда (срыв общественных мероприятий, нарушение нормальной деятельности предприятий или организаций, нарушение спокойствия неопределенно большого круга лиц и т.п.), связано с издевательством или глумлением над личностью, является длительным и упорным, совершающимся, несмотря на меры по прекращению действий.</w:t>
      </w:r>
    </w:p>
    <w:p>
      <w:pPr>
        <w:pStyle w:val="BodyText"/>
      </w:pPr>
      <w:r>
        <w:t xml:space="preserve">Явность означает очевидность действий для других лиц, что осознается виновным. Явное неуважение лица к обществу выражается в умышленном нарушении общепризнанных норм и правил поведения, продиктованном желанием виновного противопоставить себя окружающим, продемонстрировать пренебрежительное отношение к ним.</w:t>
      </w:r>
    </w:p>
    <w:p>
      <w:pPr>
        <w:pStyle w:val="BodyText"/>
      </w:pPr>
      <w:r>
        <w:t xml:space="preserve">Хулиганство, как противоправное деяние, влечет за собой административную или уголовную ответственность.</w:t>
      </w:r>
    </w:p>
    <w:p>
      <w:pPr>
        <w:pStyle w:val="BodyText"/>
      </w:pPr>
      <w:r>
        <w:t xml:space="preserve">Основное ограничение между административным проступком и преступлением состоит в способе совершения хулиганства. Одним из альтернативно-обязательных признаков хулиганства, как уголовно-наказуемого деяния, предусмотренного ст. 213 УК РФ, является применение оружия или предметов, используемых в качестве оружия.</w:t>
      </w:r>
    </w:p>
    <w:p>
      <w:pPr>
        <w:pStyle w:val="BodyText"/>
      </w:pPr>
      <w:r>
        <w:rPr>
          <w:bCs/>
          <w:b/>
        </w:rPr>
        <w:t xml:space="preserve">Статья 213. Хулиганство</w:t>
      </w:r>
    </w:p>
    <w:p>
      <w:pPr>
        <w:numPr>
          <w:ilvl w:val="0"/>
          <w:numId w:val="1001"/>
        </w:numPr>
        <w:pStyle w:val="Compact"/>
      </w:pPr>
      <w:r>
        <w:t xml:space="preserve">Хулиганство, то есть грубое нарушение общественного порядка, выражающее явное неуважение к обществу, совершенное:</w:t>
      </w:r>
    </w:p>
    <w:p>
      <w:pPr>
        <w:pStyle w:val="FirstParagraph"/>
      </w:pPr>
      <w:r>
        <w:t xml:space="preserve">а) </w:t>
      </w:r>
      <w:r>
        <w:rPr>
          <w:bCs/>
          <w:b/>
        </w:rPr>
        <w:t xml:space="preserve">с </w:t>
      </w:r>
      <w:hyperlink r:id="rId20">
        <w:r>
          <w:rPr>
            <w:rStyle w:val="Hyperlink"/>
            <w:bCs/>
            <w:b/>
          </w:rPr>
          <w:t xml:space="preserve">применением</w:t>
        </w:r>
      </w:hyperlink>
      <w:r>
        <w:rPr>
          <w:bCs/>
          <w:b/>
        </w:rPr>
        <w:t xml:space="preserve"> оружия или предметов, используемых в качестве оружия</w:t>
      </w:r>
      <w:r>
        <w:t xml:space="preserve">;</w:t>
      </w:r>
    </w:p>
    <w:p>
      <w:pPr>
        <w:pStyle w:val="BodyText"/>
      </w:pPr>
      <w:r>
        <w:t xml:space="preserve">б) </w:t>
      </w:r>
      <w:r>
        <w:rPr>
          <w:bCs/>
          <w:b/>
        </w:rPr>
        <w:t xml:space="preserve">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t xml:space="preserve">,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pPr>
        <w:numPr>
          <w:ilvl w:val="0"/>
          <w:numId w:val="1002"/>
        </w:numPr>
        <w:pStyle w:val="Compact"/>
      </w:pPr>
      <w:r>
        <w:t xml:space="preserve">То же деяние, </w:t>
      </w:r>
      <w:r>
        <w:rPr>
          <w:bCs/>
          <w:b/>
        </w:rPr>
        <w:t xml:space="preserve">совершенное группой лиц </w:t>
      </w:r>
      <w:hyperlink r:id="rId21">
        <w:r>
          <w:rPr>
            <w:rStyle w:val="Hyperlink"/>
            <w:bCs/>
            <w:b/>
          </w:rPr>
          <w:t xml:space="preserve">по предварительному сговору</w:t>
        </w:r>
      </w:hyperlink>
      <w:r>
        <w:rPr>
          <w:bCs/>
          <w:b/>
        </w:rPr>
        <w:t xml:space="preserve">или организованной группой либо связанное с </w:t>
      </w:r>
      <w:hyperlink r:id="rId22">
        <w:r>
          <w:rPr>
            <w:rStyle w:val="Hyperlink"/>
            <w:bCs/>
            <w:b/>
          </w:rPr>
          <w:t xml:space="preserve">сопротивлением</w:t>
        </w:r>
      </w:hyperlink>
      <w:r>
        <w:rPr>
          <w:bCs/>
          <w:b/>
        </w:rPr>
        <w:t xml:space="preserve">представителю власти либо иному лицу, исполняющему обязанности по охране общественного порядка или пресекающему нарушение общественного порядка</w:t>
      </w:r>
      <w:r>
        <w:t xml:space="preserve">, — </w:t>
      </w:r>
      <w:r>
        <w:t xml:space="preserve">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принудительными работами на срок до пяти лет, либо лишением свободы на срок до семи лет.</w:t>
      </w:r>
    </w:p>
    <w:p>
      <w:pPr>
        <w:numPr>
          <w:ilvl w:val="0"/>
          <w:numId w:val="1003"/>
        </w:numPr>
        <w:pStyle w:val="Compact"/>
      </w:pPr>
      <w:r>
        <w:t xml:space="preserve">Деяния, предусмотренные частями первой или второй настоящей статьи, </w:t>
      </w:r>
      <w:r>
        <w:rPr>
          <w:bCs/>
          <w:b/>
        </w:rPr>
        <w:t xml:space="preserve">совершенные с применением взрывчатых веществ или взрывных устройств</w:t>
      </w:r>
      <w:r>
        <w:t xml:space="preserve">, — наказываются лишением свободы на срок от пяти до восьми лет.</w:t>
      </w:r>
    </w:p>
    <w:p>
      <w:pPr>
        <w:pStyle w:val="FirstParagraph"/>
      </w:pPr>
      <w:r>
        <w:br/>
      </w:r>
    </w:p>
    <w:p>
      <w:pPr>
        <w:pStyle w:val="BodyText"/>
      </w:pPr>
      <w:r>
        <w:t xml:space="preserve">Адрес страницы:</w:t>
      </w:r>
      <w:r>
        <w:t xml:space="preserve"> </w:t>
      </w:r>
      <w:hyperlink r:id="rId23">
        <w:r>
          <w:rPr>
            <w:rStyle w:val="Hyperlink"/>
          </w:rPr>
          <w:t xml:space="preserve">http://bogorodskoe.mos.ru/security_and_law_and_order/detail/7438044.html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offline/ref=93E70D704D53CCCF506B668FD9F11A9B54722903F301A94A1D9B59C042A4BA22B8543250384F7240Y5J" TargetMode="External" /><Relationship Type="http://schemas.openxmlformats.org/officeDocument/2006/relationships/hyperlink" Id="rId22" Target="//offline/ref=93E70D704D53CCCF506B668FD9F11A9B54722903F301A94A1D9B59C042A4BA22B8543250384F7340YAJ" TargetMode="External" /><Relationship Type="http://schemas.openxmlformats.org/officeDocument/2006/relationships/hyperlink" Id="rId21" Target="//offline/ref=93E70D704D53CCCF506B668FD9F11A9B54722903F301A94A1D9B59C042A4BA22B8543250384F7340YEJ" TargetMode="External" /><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7438044.html" TargetMode="External" /></Relationships>
</file>

<file path=word/_rels/footnotes.xml.rels><?xml version="1.0" encoding="UTF-8"?><Relationships xmlns="http://schemas.openxmlformats.org/package/2006/relationships"><Relationship Type="http://schemas.openxmlformats.org/officeDocument/2006/relationships/hyperlink" Id="rId20" Target="//offline/ref=93E70D704D53CCCF506B668FD9F11A9B54722903F301A94A1D9B59C042A4BA22B8543250384F7240Y5J" TargetMode="External" /><Relationship Type="http://schemas.openxmlformats.org/officeDocument/2006/relationships/hyperlink" Id="rId22" Target="//offline/ref=93E70D704D53CCCF506B668FD9F11A9B54722903F301A94A1D9B59C042A4BA22B8543250384F7340YAJ" TargetMode="External" /><Relationship Type="http://schemas.openxmlformats.org/officeDocument/2006/relationships/hyperlink" Id="rId21" Target="//offline/ref=93E70D704D53CCCF506B668FD9F11A9B54722903F301A94A1D9B59C042A4BA22B8543250384F7340YEJ" TargetMode="External" /><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743804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2023-08-22T19:09:03Z</dcterms:created>
  <dcterms:modified xsi:type="dcterms:W3CDTF">2023-08-22T19:09:03Z</dcterms:modified>
</cp:coreProperties>
</file>

<file path=docProps/custom.xml><?xml version="1.0" encoding="utf-8"?>
<Properties xmlns="http://schemas.openxmlformats.org/officeDocument/2006/custom-properties" xmlns:vt="http://schemas.openxmlformats.org/officeDocument/2006/docPropsVTypes"/>
</file>