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009f2c207990713a5c5d93cbaf7094bb972b"/>
    <w:p>
      <w:pPr>
        <w:pStyle w:val="Heading3"/>
      </w:pPr>
      <w:r>
        <w:t xml:space="preserve">Преображенская межрайонная прокуратура г. Москвы разъясняет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Гражданин, замещавший должность государственной (муниципальной) службы, включенную в перечень, установленный нормативными правовыми актами Российской Федерации (далее – гражданин), в течение двух лет после увольнения с такой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100 000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с согласия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интересов.</w:t>
      </w:r>
    </w:p>
    <w:p>
      <w:pPr>
        <w:pStyle w:val="BodyText"/>
      </w:pPr>
      <w:r>
        <w:t xml:space="preserve">Обращение подается гражданином в подразделение кадровой службы государственного (муниципального) органа по профилактике коррупционных и иных правонарушений. Обращение может быть направлено по почте с заказным уведомлением либо доставлено лично в государственный (муниципальный) орган.</w:t>
      </w:r>
    </w:p>
    <w:p>
      <w:pPr>
        <w:pStyle w:val="BodyText"/>
      </w:pPr>
      <w:r>
        <w:t xml:space="preserve">За согласием на трудоустройство в комиссию может обратиться также государственный (муниципальный) служащий, планирующий свое увольнение. Такое обращение подлежит оформлению и рассмотрению комиссией в порядке, аналогичном рассмотрению обращения гражданина.</w:t>
      </w:r>
    </w:p>
    <w:p>
      <w:pPr>
        <w:pStyle w:val="BodyText"/>
      </w:pPr>
      <w:r>
        <w:t xml:space="preserve"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а также проинформировать гражданина о принятом решении.</w:t>
      </w:r>
    </w:p>
    <w:p>
      <w:pPr>
        <w:pStyle w:val="BodyText"/>
      </w:pPr>
      <w:r>
        <w:t xml:space="preserve">Гражданин в течение двух лет после увольнения с государственной (муниципальной) службы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службы.</w:t>
      </w:r>
    </w:p>
    <w:p>
      <w:pPr>
        <w:pStyle w:val="BodyText"/>
      </w:pPr>
      <w:r>
        <w:t xml:space="preserve">Несоблюдение данного требования влечет прекращение трудового (гражданско-правового) договора, заключенного с указанным гражданином.</w:t>
      </w:r>
    </w:p>
    <w:p>
      <w:pPr>
        <w:pStyle w:val="BodyText"/>
      </w:pPr>
      <w:r>
        <w:t xml:space="preserve">Работодатель при заключении трудового (гражданско-правового) договора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>
      <w:pPr>
        <w:pStyle w:val="BodyText"/>
      </w:pPr>
      <w:r>
        <w:t xml:space="preserve">Неисполнение работодателем данной обязанности является правонарушением и влечет административную ответственность по ст. 19.29 КоАП РФ, которая влечет наложение административного штрафа на граждан в размере от 2 000 до 4 000 рублей; на должностных лиц - от 20 000 до 50 000 рублей; на юридических лиц - от 100 000 до 500 000 рублей.</w:t>
      </w:r>
    </w:p>
    <w:p>
      <w:pPr>
        <w:pStyle w:val="BodyText"/>
      </w:pPr>
      <w:r>
        <w:t xml:space="preserve">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http://bogorodskoe.mos.ru/security_and_law_and_order/bezopasnost/detail/11265490.html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2024-11-29T05:44:46Z</dcterms:created>
  <dcterms:modified xsi:type="dcterms:W3CDTF">2024-11-29T05:44:46Z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