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05bc1aa0cf9e20cf49602855ef73da2e3202"/>
    <w:p>
      <w:pPr>
        <w:pStyle w:val="Heading3"/>
      </w:pPr>
      <w:r>
        <w:t xml:space="preserve">Прокуратура ВАО г. Москвы разъясняет: защита прав и законных интересов детей в сфере профессиональной ориентации, профессионального обучения и занятости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ориентации, профессионального обучения детей, достигших возраста 14 лет.</w:t>
      </w:r>
    </w:p>
    <w:p>
      <w:pPr>
        <w:pStyle w:val="BodyText"/>
      </w:pPr>
      <w:r>
        <w:t xml:space="preserve">В случае приема на работу детей, достигших возраста 15 лет, им гарантируются вознаграждение за труд, охрана труда, сокращенное рабочее время, отпуск. Работникам моложе 18 лет предоставляются льготы при совмещении работы с обучением, проведении ежегодного обязательного медицинского осмотра, квотировании рабочих мест для трудоустройства, расторжении трудового договора (контракта) и другие льготы, установленные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2024-05-10T17:28:06Z</dcterms:created>
  <dcterms:modified xsi:type="dcterms:W3CDTF">2024-05-10T17:28:06Z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