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10d46210ff140efccae6080ac00c415bff789b"/>
    <w:p>
      <w:pPr>
        <w:pStyle w:val="Heading3"/>
      </w:pPr>
      <w:r>
        <w:t xml:space="preserve">Прокуратура ВАО г. Москвы разъясняет: основные государственные гарантии по оплате труда работников</w:t>
      </w:r>
    </w:p>
    <w:p>
      <w:pPr>
        <w:pStyle w:val="FirstParagraph"/>
      </w:pPr>
      <w:r>
        <w:t xml:space="preserve">31.01.2023</w:t>
      </w:r>
    </w:p>
    <w:p>
      <w:pPr>
        <w:pStyle w:val="BodyText"/>
      </w:pPr>
      <w:r>
        <w:t xml:space="preserve">В систему основных государственных гарантий по оплате труда работников включаются: величина минимального размера оплаты труда в Российской Федерации; меры, обеспечивающие повышение уровня реального содержания заработной платы; ограничение перечня оснований и размеров удержаний из заработной платы по распоряжению работодателя, а также размеров налогообложения доходов от заработной платы; ограничение оплаты труда в натуральной форме; обеспечение получения работником заработной платы в случае прекращения деятельности работодателя и его неплатежеспособности в соответствии с федеральными законами; федеральный государственный контроль (надзор) за соблюдением трудового законодательства и иных нормативных правовых актов, содержащих нормы трудового права, включающий в себя проведение проверок полноты и своевременности выплаты заработной платы и реализации государственных гарантий по оплате труда; ответственность работодателей за нарушение требований, установленных трудовым законодательством и иными нормативными правовыми актами, содержащими нормы трудового права, коллективными договорами, соглашениями; сроки и очередность выплаты заработной платы.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http://bogorodskoe.mos.ru/security_and_law_and_order/detail/11376995.html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13769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13769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2024-04-27T00:00:08Z</dcterms:created>
  <dcterms:modified xsi:type="dcterms:W3CDTF">2024-04-27T00:00:08Z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