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c2f86f8aa499feec4de385084761c41f7bd906"/>
    <w:p>
      <w:pPr>
        <w:pStyle w:val="Heading3"/>
      </w:pPr>
      <w:r>
        <w:t xml:space="preserve">Преображенский межрайонный прокурор разъясняет, кто вправе получать страховую пенсию, начисленную несовершеннолетнему, и какой порядок ее получения</w:t>
      </w:r>
    </w:p>
    <w:p>
      <w:pPr>
        <w:pStyle w:val="FirstParagraph"/>
      </w:pPr>
      <w:r>
        <w:t xml:space="preserve">22.03.2023</w:t>
      </w:r>
    </w:p>
    <w:p>
      <w:pPr>
        <w:pStyle w:val="BodyText"/>
      </w:pPr>
      <w:r>
        <w:t xml:space="preserve">В соответствии с ч. 18 ст. 21 Федерального закона от 28.12.2013 № 400 «О страховых пенсиях» страховая пенсия, если ее получателем является ребенок, не достигший возраста 18 лет, зачисляется на счет одного из родителей в кредитной организации, либо посредством почтовой связи вручается родителю лично.</w:t>
      </w:r>
    </w:p>
    <w:p>
      <w:pPr>
        <w:pStyle w:val="BodyText"/>
      </w:pPr>
      <w:r>
        <w:t xml:space="preserve">Доставка пенсии несовершеннолетним имеет ряд особенностей, в силу того что правом на пенсию обладает сам ребенок, а ее получение возможно производить как на его имя, так и на имя его законного представителя.</w:t>
      </w:r>
    </w:p>
    <w:p>
      <w:pPr>
        <w:pStyle w:val="BodyText"/>
      </w:pPr>
      <w:r>
        <w:t xml:space="preserve">В связи с этим на практике возникают ситуации неправомерного списания денежных средств, принадлежащих несовершеннолетним и перечисленных на счет родителя, в счет погашения обязательств, не исполненных его законными представителями.</w:t>
      </w:r>
    </w:p>
    <w:p>
      <w:pPr>
        <w:pStyle w:val="BodyText"/>
      </w:pPr>
      <w:r>
        <w:t xml:space="preserve">Вместе с тем ч. 1 ст. 37 Гражданского кодекса Российской Федерации предусматривает возможность открытия отдельного номинального счета в случае, если законный представитель изъявит желание получать пенсию своего подопечного на свой счет в кредитной организации.</w:t>
      </w:r>
    </w:p>
    <w:p>
      <w:pPr>
        <w:pStyle w:val="BodyText"/>
      </w:pPr>
      <w:r>
        <w:t xml:space="preserve">На средства, находящиеся на номинальном банковском счете, не допускается обращение взыскания по долгам родителя (законного представителя).</w:t>
      </w:r>
    </w:p>
    <w:p>
      <w:pPr>
        <w:pStyle w:val="BodyText"/>
      </w:pPr>
      <w:r>
        <w:t xml:space="preserve">В силу части 3 статьи 60 Семейного кодекса Российской Федерации родители при осуществлении правомочий по управлению имуществом ребенка обязаны соблюдать правила, установленные гражданским законодательством в отношении распоряжения имуществом подопечного.</w:t>
      </w:r>
    </w:p>
    <w:p>
      <w:pPr>
        <w:pStyle w:val="BodyText"/>
      </w:pPr>
      <w:r>
        <w:t xml:space="preserve">Таким образом, при выборе способа получения пенсии, иных выплат несовершеннолетнего, законным представителям следует учитывать указанные положения закона.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http://bogorodskoe.mos.ru/security_and_law_and_order/bezopasnost/detail/11480746.html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bezopasnost/detail/114807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bezopasnost/detail/114807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2025-02-19T22:20:54Z</dcterms:created>
  <dcterms:modified xsi:type="dcterms:W3CDTF">2025-02-19T22:20:54Z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