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4d2c50a7db0fc14713d90343e07106217dc41"/>
    <w:p>
      <w:pPr>
        <w:pStyle w:val="Heading3"/>
      </w:pPr>
      <w:r>
        <w:t xml:space="preserve">Преображенский межрайонный прокурор разъясняет, что публичные призывы к нарушению территориальной целостности Российской Федерации влекут привлечение к ответственности</w:t>
      </w:r>
    </w:p>
    <w:p>
      <w:pPr>
        <w:pStyle w:val="FirstParagraph"/>
      </w:pPr>
      <w:r>
        <w:t xml:space="preserve">22.03.2023</w:t>
      </w:r>
    </w:p>
    <w:p>
      <w:pPr>
        <w:pStyle w:val="BodyText"/>
      </w:pPr>
      <w:r>
        <w:t xml:space="preserve">Статьей 20.3.2 Кодекса Российской Федерации об административных правонарушениях предусмотрена административная ответственность за публичные призывы к осуществлению действий, направленных на нарушение территориальной целостности Российской Федерации.</w:t>
      </w:r>
    </w:p>
    <w:p>
      <w:pPr>
        <w:pStyle w:val="BodyText"/>
      </w:pPr>
      <w:r>
        <w:t xml:space="preserve">Размер административного штрафа для граждан составляет от 30 тыс. руб. до 60 тыс. руб., для должностных лиц – от 60 тыс. руб. до 100 тыс. руб., для юридических лиц – от 200 тыс. руб. до 300 тыс. руб.</w:t>
      </w:r>
    </w:p>
    <w:p>
      <w:pPr>
        <w:pStyle w:val="BodyText"/>
      </w:pPr>
      <w:r>
        <w:t xml:space="preserve">Эти же действия, совершенные с использованием средств массовой информации либо электронных или информационно-телекоммуникационных сетей (включая сеть «Интернет»), влекут наложение штрафа на граждан в размере от 70 тыс. руб. до 100 тыс. руб., на должностных лиц – от 100 тыс. руб. до 200 тыс. руб., на юридических лиц – от 300 тыс. руб. до 500 тыс. руб.</w:t>
      </w:r>
    </w:p>
    <w:p>
      <w:pPr>
        <w:pStyle w:val="BodyText"/>
      </w:pPr>
      <w:r>
        <w:t xml:space="preserve">Дела по таким административным правонарушениям возбуждаются прокурорами, а рассматриваются по существу районными (городскими) судами.</w:t>
      </w:r>
    </w:p>
    <w:p>
      <w:pPr>
        <w:pStyle w:val="BodyText"/>
      </w:pPr>
      <w:r>
        <w:t xml:space="preserve">Повторное совершение данного деяния в течение года после привлечения к административной ответственности влечет привлечение к уголовной ответственности по статье 280.1 Уголовного кодекса Российской Федерации.</w:t>
      </w:r>
    </w:p>
    <w:p>
      <w:pPr>
        <w:pStyle w:val="BodyText"/>
      </w:pPr>
      <w:r>
        <w:t xml:space="preserve">Следует отметить, что непосредственное совершение действий, направленных на нарушение территориальной целостности Российской Федерации, влечет привлечение к уголовной ответственности с назначением наказания в виде лишения свободы на срок от 6 до 10 лет (ст. 280.2 УК РФ).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http://bogorodskoe.mos.ru/security_and_law_and_order/bezopasnost/detail/11480761.html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4807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4807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2024-03-24T09:20:34Z</dcterms:created>
  <dcterms:modified xsi:type="dcterms:W3CDTF">2024-03-24T09:20:34Z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