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ed1814deac9ad0a91cdffb928b3546e936b64"/>
    <w:p>
      <w:pPr>
        <w:pStyle w:val="Heading3"/>
      </w:pPr>
      <w:r>
        <w:t xml:space="preserve">Преображенская межрайонная прокуратура г. Москвы разъясняет, что Федеральным законом от 06.03.2022 № 44-ФЗ Федеральный закон «О противодействии коррупции» дополнен статьей 8.2</w:t>
      </w:r>
    </w:p>
    <w:p>
      <w:pPr>
        <w:pStyle w:val="FirstParagraph"/>
      </w:pPr>
      <w:r>
        <w:t xml:space="preserve">04.04.2023</w:t>
      </w:r>
    </w:p>
    <w:p>
      <w:pPr>
        <w:pStyle w:val="BodyText"/>
      </w:pPr>
      <w:r>
        <w:t xml:space="preserve">Преображенская межрайонная прокуратура г. Москвы разъясняет, что Федеральным законом от 06.03.2022 № 44-ФЗ Федеральный закон «О противодействии коррупции» дополнен статьей 8.2, определяющей порядок осуществления контроля за законностью получения денежных средств. Данные поправки относятся к лицам, которые обязаны подавать справки о доходах, расходах, об имуществе и обязательствах имущественного характера.</w:t>
      </w:r>
    </w:p>
    <w:p>
      <w:pPr>
        <w:pStyle w:val="BodyText"/>
      </w:pPr>
      <w:r>
        <w:t xml:space="preserve">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>
      <w:pPr>
        <w:pStyle w:val="BodyText"/>
      </w:pPr>
      <w:r>
        <w:t xml:space="preserve"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 Данные материалы подлежат направлению в прокуратуру даже если проверяемое лицо уволилось до завершения проверки.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http://bogorodskoe.mos.ru/security_and_law_and_order/detail/11506867.html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5068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5068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2024-04-09T18:51:00Z</dcterms:created>
  <dcterms:modified xsi:type="dcterms:W3CDTF">2024-04-09T18:51:00Z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