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129fd958c8f8d425861a5fd9fb78875a1d0208e"/>
    <w:p>
      <w:pPr>
        <w:pStyle w:val="Heading3"/>
      </w:pPr>
      <w:r>
        <w:t xml:space="preserve">Порядок освобождения от уплаты страховых взносов за периоды прохождения военной службы.</w:t>
      </w:r>
    </w:p>
    <w:p>
      <w:pPr>
        <w:pStyle w:val="FirstParagraph"/>
      </w:pPr>
      <w:r>
        <w:t xml:space="preserve">18.12.2024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В соответствии с письмом ФНС России от 09.12.2024 N БС-4-11/13952@ "Об освобождении от уплаты страховых взносов" основания для освобождения от уплаты страховых взносов в совокупном фиксированном размере за периоды военной службы по призыву или по контракту предусмотрены пунктом 7 статьи 430 НК РФ. Условием такого освобождения является, в частности, представление в налоговый орган соответствующего заявления (КНД 1150081) и подтверждающих документов.</w:t>
      </w:r>
    </w:p>
    <w:p>
      <w:pPr>
        <w:pStyle w:val="BodyText"/>
      </w:pPr>
      <w:r>
        <w:t xml:space="preserve">Сообщается о документах, свидетельствующих об отсутствии деятельности у плательщиков в указанные периоды, а также приведен перечень документов, подтверждающих право на освобождение от уплаты страховых взносов.</w:t>
      </w:r>
    </w:p>
    <w:p>
      <w:pPr>
        <w:pStyle w:val="BodyText"/>
      </w:pPr>
      <w:r>
        <w:t xml:space="preserve">Также разъяснена обязанность по уплате страховых взносов в случае: осуществления в расчетном периоде деятельности плательщиками, имеющими право на освобождение; получения дохода от осуществления предпринимательской деятельности в расчетном периоде при наличии у плательщика основания для освобождения от уплаты страховых взносов за полный расчетный период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http://bogorodskoe.mos.ru/security_and_law_and_order/bezopasnost/detail/12727378.html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Богородское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bogorodskoe.mos.ru" TargetMode="External" /><Relationship Type="http://schemas.openxmlformats.org/officeDocument/2006/relationships/hyperlink" Id="rId20" Target="http://bogorodskoe.mos.ru/security_and_law_and_order/bezopasnost/detail/12727378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bogorodskoe.mos.ru" TargetMode="External" /><Relationship Type="http://schemas.openxmlformats.org/officeDocument/2006/relationships/hyperlink" Id="rId20" Target="http://bogorodskoe.mos.ru/security_and_law_and_order/bezopasnost/detail/12727378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2025-02-14T14:51:00Z</dcterms:created>
  <dcterms:modified xsi:type="dcterms:W3CDTF">2025-02-14T14:51:00Z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