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cb7f0cdd600d5e6e0cbafc5cf45852d2977a2"/>
    <w:p>
      <w:pPr>
        <w:pStyle w:val="Heading3"/>
      </w:pPr>
      <w:r>
        <w:t xml:space="preserve">Прокурор Восточного административного округа города Москвы разъясняет внесения изменений в статью 153 Трудового кодекса Российской Федерации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Федеральным законом от 30.09.2024 № 339-ФЗ внесены изменения в статью 153 Трудового кодекса Российской Федерации.</w:t>
      </w:r>
    </w:p>
    <w:p>
      <w:pPr>
        <w:pStyle w:val="BodyText"/>
      </w:pPr>
      <w:r>
        <w:t xml:space="preserve">Дополнительный день отдыха за работу в выходной или нерабочий праздничный день по желанию работника может быть использован в течение одного года со дня такой работы либо присоединен к отпуску, предоставляемому в указанный период</w:t>
      </w:r>
    </w:p>
    <w:p>
      <w:pPr>
        <w:pStyle w:val="BodyText"/>
      </w:pPr>
      <w:r>
        <w:t xml:space="preserve">Также установлен порядок оплаты работнику неиспользованных дополнительных дней отдыха в день увольнения.</w:t>
      </w:r>
    </w:p>
    <w:p>
      <w:pPr>
        <w:pStyle w:val="BodyText"/>
      </w:pPr>
      <w:r>
        <w:t xml:space="preserve">Настоящий федеральный закон вступает в силу с 1 марта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http://bogorodskoe.mos.ru/security_and_law_and_order/bezopasnost/detail/12728295.html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28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28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2024-12-21T19:35:41Z</dcterms:created>
  <dcterms:modified xsi:type="dcterms:W3CDTF">2024-12-21T19:35:41Z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