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cdca7dc231f07da754e29d5951715ebabcd63"/>
    <w:p>
      <w:pPr>
        <w:pStyle w:val="Heading3"/>
      </w:pPr>
      <w:r>
        <w:t xml:space="preserve">Прокурор Восточного административного округа города Москвы разъясняет, Минтруд России проинформировал о защите лиц, сообщивших о ставших им известными фактах коррупции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Сообщается, что к лицу, замещающему должность в госоргане, Банке России, государственном внебюджетном фонде, госкорпорации (компании), иной организации, созданной на основании федерального закона, публично-правовой компании, организации, создаваемой для выполнения задач, поставленных перед федеральным государственным органом, сообщившему в правоохранительные или иные госорганы или СМИ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</w:t>
      </w:r>
      <w:r>
        <w:t xml:space="preserve"> </w:t>
      </w:r>
      <w:r>
        <w:rPr>
          <w:u w:val="single"/>
        </w:rPr>
        <w:t xml:space="preserve">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</w:t>
      </w:r>
      <w:r>
        <w:t xml:space="preserve">. (письмо Минтруда России от 20.09.2024 № 28-6/10/В-15619).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http://bogorodskoe.mos.ru/security_and_law_and_order/detail/12798727.html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2798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2798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2025-06-02T15:11:42Z</dcterms:created>
  <dcterms:modified xsi:type="dcterms:W3CDTF">2025-06-02T15:11:42Z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