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6b8250637e12505683b8d215f2c502056024c7"/>
    <w:p>
      <w:pPr>
        <w:pStyle w:val="Heading3"/>
      </w:pPr>
      <w:r>
        <w:t xml:space="preserve">Прокурор Восточного административного округа города Москвы разъясняет, до конца 2026 года продлеваются правомочия Правительства устанавливать особенности начисления пени в случае неполного и (или) несвоевременного внесения коммунальных платежей</w:t>
      </w:r>
    </w:p>
    <w:p>
      <w:pPr>
        <w:pStyle w:val="FirstParagraph"/>
      </w:pPr>
      <w:r>
        <w:t xml:space="preserve">10.02.2025</w:t>
      </w:r>
    </w:p>
    <w:p>
      <w:pPr>
        <w:pStyle w:val="BodyText"/>
      </w:pPr>
      <w:r>
        <w:t xml:space="preserve">Федеральным законом от 03.02.2025 № 6-ФЗ внесены изменения в статью 173 Жилищного кодекса Российской Федерации и отдельные законодательные акты Российской Федерации</w:t>
      </w:r>
    </w:p>
    <w:p>
      <w:pPr>
        <w:pStyle w:val="BodyText"/>
      </w:pPr>
      <w:r>
        <w:t xml:space="preserve">На основании статьи 9 Федерального закона от 14 марта 2022 г. № 58-ФЗ Правительством установлены особенности регулирования жилищных отношений, предусматривающие, в частности, использование пониженной ставки для начисления пени в случае неполного и (или) несвоевременного внесения платы за жилое помещение и коммунальные услуги, взносов на капитальный ремонт.</w:t>
      </w:r>
    </w:p>
    <w:p>
      <w:pPr>
        <w:pStyle w:val="BodyText"/>
      </w:pPr>
      <w:r>
        <w:t xml:space="preserve">После вступления в силу настоящего закона Правительство сможет продлить применение указанных особенностей или установить новые на период с 1 января 2025 года до 2026 года включительно.</w:t>
      </w:r>
    </w:p>
    <w:p>
      <w:pPr>
        <w:pStyle w:val="BodyText"/>
      </w:pPr>
      <w:r>
        <w:t xml:space="preserve">Кроме того, законом предусмотрено увеличение установленного частью 8 статьи 173 ЖК РФ минимального уровня собираемости взносов граждан на капитальный ремонт на специальных счетах с 50 до 60 процентов. Напомним, что в случае, если такой уровень не будет достигнут, средства, находящиеся на специальном счете, могут быть в установленном порядке переведены на счет регионального оператора.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http://bogorodskoe.mos.ru/security_and_law_and_order/detail/12798749.html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27987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27987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2025-05-15T15:06:32Z</dcterms:created>
  <dcterms:modified xsi:type="dcterms:W3CDTF">2025-05-15T15:06:32Z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