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14a03c301312be1be9a9d099e7b15ca5f65cf4"/>
    <w:p>
      <w:pPr>
        <w:pStyle w:val="Heading3"/>
      </w:pPr>
      <w:r>
        <w:t xml:space="preserve">Сотрудники Госавтоинспекции Москвы проводят мероприятие</w:t>
      </w:r>
    </w:p>
    <w:p>
      <w:pPr>
        <w:pStyle w:val="FirstParagraph"/>
      </w:pPr>
      <w:r>
        <w:t xml:space="preserve">29.05.2025</w:t>
      </w:r>
    </w:p>
    <w:p>
      <w:pPr>
        <w:pStyle w:val="BodyText"/>
      </w:pPr>
      <w:r>
        <w:t xml:space="preserve">Подразделениями столичной Госавтоинспекции с 25 апреля по 12 мая проводится работа по выявлению и пресечению правонарушений при эксплуатации автомобилей, на которых установлены стекла светопропускание которых не соответствует требованиям технического регламента.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http://bogorodskoe.mos.ru/security_and_law_and_order/bezopasnost/detail/12997545.html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29975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29975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2025-05-29T18:13:37Z</dcterms:created>
  <dcterms:modified xsi:type="dcterms:W3CDTF">2025-05-29T18:13:37Z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