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421eed8feb0315fa63d7836ab1967ee3cc8d9d"/>
    <w:p>
      <w:pPr>
        <w:pStyle w:val="Heading3"/>
      </w:pPr>
      <w:r>
        <w:t xml:space="preserve">Утверждены основы государственной политики Российской Федерации в области гражданской обороны на период до 2030 года</w:t>
      </w:r>
    </w:p>
    <w:p>
      <w:pPr>
        <w:pStyle w:val="FirstParagraph"/>
      </w:pPr>
      <w:r>
        <w:t xml:space="preserve">26.01.2017</w:t>
      </w:r>
    </w:p>
    <w:p>
      <w:pPr>
        <w:pStyle w:val="BodyText"/>
      </w:pPr>
      <w:r>
        <w:t xml:space="preserve">Указом Президента РФ от 20.12.2016 N 696</w:t>
      </w:r>
      <w:r>
        <w:t xml:space="preserve"> </w:t>
      </w:r>
      <w:bookmarkStart w:id="20" w:name="X1207a264b4c9f4df21fde20366a046b31aef217"/>
      <w:r>
        <w:t xml:space="preserve">утверждены основы государственной политики Российской Федерации в области гражданской обороны на период до 2030 года</w:t>
      </w:r>
      <w:bookmarkEnd w:id="20"/>
      <w:r>
        <w:t xml:space="preserve">.</w:t>
      </w:r>
    </w:p>
    <w:p>
      <w:pPr>
        <w:pStyle w:val="BodyText"/>
      </w:pPr>
      <w:r>
        <w:t xml:space="preserve">Согласно Указа Президента РФ от 20.12.2016 N 696, основными факторами, влияющими на состояние гражданской обороны, являются:</w:t>
      </w:r>
    </w:p>
    <w:p>
      <w:pPr>
        <w:pStyle w:val="BodyText"/>
      </w:pPr>
      <w:r>
        <w:t xml:space="preserve">а) нарастание рисков возникновения крупномасштабных чрезвычайных ситуаций природного и техногенного характера, в том числе связанных с глобальным изменением климата, ухудшением технического состояния объектов производственной и транспортной инфраструктуры, критически важных и потенциально опасных объектов;</w:t>
      </w:r>
    </w:p>
    <w:p>
      <w:pPr>
        <w:pStyle w:val="BodyText"/>
      </w:pPr>
      <w:r>
        <w:t xml:space="preserve">б) увеличение в среднесрочной и долгосрочной перспективе размера возможного ущерба от крупномасштабных чрезвычайных ситуаций и объема работ по защите населения, материальных и культурных ценностей от опасностей, возникающих при военных конфликтах и чрезвычайных ситуациях;</w:t>
      </w:r>
    </w:p>
    <w:p>
      <w:pPr>
        <w:pStyle w:val="BodyText"/>
      </w:pPr>
      <w:r>
        <w:t xml:space="preserve">в) угроза возникновения очагов вооруженных конфликтов и их эскалации;</w:t>
      </w:r>
    </w:p>
    <w:p>
      <w:pPr>
        <w:pStyle w:val="BodyText"/>
      </w:pPr>
      <w:r>
        <w:t xml:space="preserve">г) сохранение вероятности возникновения эпидемий, в том числе вызванных новыми, неизвестными ранее возбудителями инфекционных заболеваний человека и животных;</w:t>
      </w:r>
    </w:p>
    <w:p>
      <w:pPr>
        <w:pStyle w:val="BodyText"/>
      </w:pPr>
      <w:r>
        <w:t xml:space="preserve">д) растущая угроза проявлений экстремизма.</w:t>
      </w:r>
    </w:p>
    <w:p>
      <w:pPr>
        <w:pStyle w:val="BodyText"/>
      </w:pPr>
      <w:r>
        <w:t xml:space="preserve">Государственная политика в области гражданской обороны реализуется посредством скоординированной и целенаправленной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основанной на законодательстве Российской Федерации, общепризнанных принципах и нормах международного права и международных договорах Российской Федерации.</w:t>
      </w:r>
    </w:p>
    <w:p>
      <w:pPr>
        <w:pStyle w:val="BodyText"/>
      </w:pPr>
      <w:r>
        <w:t xml:space="preserve">Основными механизмами ресурсного обеспечения мероприятий по реализации государственной политики в области гражданской обороны являются:</w:t>
      </w:r>
    </w:p>
    <w:p>
      <w:pPr>
        <w:pStyle w:val="BodyText"/>
      </w:pPr>
      <w:r>
        <w:t xml:space="preserve">а) формирование и исполнение расходных обязательств Российской Федерации, субъектов Российской Федерации и муниципальных образований, предусматривающих ресурсное обеспечение мероприятий по гражданской обороне, в том числе:</w:t>
      </w:r>
    </w:p>
    <w:p>
      <w:pPr>
        <w:pStyle w:val="BodyText"/>
      </w:pPr>
      <w:r>
        <w:t xml:space="preserve">формирование и выполнение государственного оборонного заказа;</w:t>
      </w:r>
    </w:p>
    <w:p>
      <w:pPr>
        <w:pStyle w:val="BodyText"/>
      </w:pPr>
      <w:r>
        <w:t xml:space="preserve">разработка государственных, региональных, муниципальных и ведомственных программ, предусматривающих финансовое обеспечение мероприятий по гражданской обороне;</w:t>
      </w:r>
    </w:p>
    <w:p>
      <w:pPr>
        <w:pStyle w:val="BodyText"/>
      </w:pPr>
      <w:r>
        <w:t xml:space="preserve">б) формирование перечней организаций, обеспечивающих выполнение мероприятий по гражданской обороне в федеральных органах исполнительной власти, органах исполнительной власти субъектов Российской Федерации и органах местного самоуправления;</w:t>
      </w:r>
    </w:p>
    <w:p>
      <w:pPr>
        <w:pStyle w:val="BodyText"/>
      </w:pPr>
      <w:r>
        <w:t xml:space="preserve">в) создание в целях гражданской обороны запасов материально-технических, продовольственных, медицинских и иных средств.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http://bogorodskoe.mos.ru/security_and_law_and_order/detail/4774731.html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47747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47747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2025-06-21T20:01:06Z</dcterms:created>
  <dcterms:modified xsi:type="dcterms:W3CDTF">2025-06-21T20:01:06Z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