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внимание-взрывные-устройства"/>
    <w:p>
      <w:pPr>
        <w:pStyle w:val="Heading3"/>
      </w:pPr>
      <w:r>
        <w:t xml:space="preserve">ВНИМАНИЕ! Взрывные устройства</w:t>
      </w:r>
    </w:p>
    <w:p>
      <w:pPr>
        <w:pStyle w:val="FirstParagraph"/>
      </w:pPr>
      <w:r>
        <w:t xml:space="preserve">11.10.2017</w:t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presscenter/Bezopasnost_2017/87693709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http://bogorodskoe.mos.ru/security_and_law_and_order/bezopasnost/detail/6913339.html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bezopasnost/detail/69133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bezopasnost/detail/69133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2025-07-26T17:32:36Z</dcterms:created>
  <dcterms:modified xsi:type="dcterms:W3CDTF">2025-07-26T17:32:36Z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