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профилактика-энтеровирусной-инфекции"/>
    <w:p>
      <w:pPr>
        <w:pStyle w:val="Heading3"/>
      </w:pPr>
      <w:r>
        <w:t xml:space="preserve">Профилактика энтеровирусной инфекции</w:t>
      </w:r>
    </w:p>
    <w:p>
      <w:pPr>
        <w:pStyle w:val="FirstParagraph"/>
      </w:pPr>
      <w:r>
        <w:t xml:space="preserve">10.08.2023</w:t>
      </w:r>
    </w:p>
    <w:p>
      <w:pPr>
        <w:pStyle w:val="BodyText"/>
      </w:pPr>
      <w:r>
        <w:rPr>
          <w:bCs/>
          <w:b/>
        </w:rPr>
        <w:t xml:space="preserve">Энтеровирусная инфекция Памятка населению</w:t>
      </w:r>
    </w:p>
    <w:p>
      <w:pPr>
        <w:pStyle w:val="BodyText"/>
      </w:pPr>
      <w:r>
        <w:t xml:space="preserve">Энтеровирусные инфекции - большая группа антропонозных инфекционных болезней, вызываемых энтеровирусами группы Коксаки, ECHO и другими энтеровирусами, которые характеризуются разнообразием клинической картины с поражением центральной нервной системы, мышц, слизистых оболочек глаз, верхних дыхательных путей, пищеварительного тракта и кожи.</w:t>
      </w:r>
    </w:p>
    <w:p>
      <w:pPr>
        <w:pStyle w:val="BodyText"/>
      </w:pPr>
      <w:r>
        <w:t xml:space="preserve">Симптомы - сыпь на туловище, конечностях, на лице в области рта, расстройство пищеварения, лихорадка, головная боль.</w:t>
      </w:r>
    </w:p>
    <w:p>
      <w:pPr>
        <w:pStyle w:val="BodyText"/>
      </w:pPr>
      <w:r>
        <w:t xml:space="preserve">Источник инфекции – человек (больной или носитель).</w:t>
      </w:r>
    </w:p>
    <w:p>
      <w:pPr>
        <w:pStyle w:val="BodyText"/>
      </w:pPr>
      <w:r>
        <w:t xml:space="preserve">Инкубационный период 1-10 дней.</w:t>
      </w:r>
    </w:p>
    <w:p>
      <w:pPr>
        <w:pStyle w:val="BodyText"/>
      </w:pPr>
      <w:r>
        <w:t xml:space="preserve">Основные пути передачи — водный, пищевой и контактно-бытовой, дополнительный путь — воздушно-капельный</w:t>
      </w:r>
    </w:p>
    <w:p>
      <w:pPr>
        <w:pStyle w:val="BodyText"/>
      </w:pPr>
      <w:r>
        <w:t xml:space="preserve">Инфицирование происходит при употреблении некачественной воды, плохо вымытых овощей, фруктов, зелени и льда, приготовленного из некачественной воды, при купании в открытых водоемах, через грязные руки и объекты внешней среды.</w:t>
      </w:r>
    </w:p>
    <w:p>
      <w:pPr>
        <w:pStyle w:val="BodyText"/>
      </w:pPr>
      <w:r>
        <w:t xml:space="preserve">Самая опасная форма энтеровирусной инфекции —энтеровирусный менингит.</w:t>
      </w:r>
    </w:p>
    <w:p>
      <w:pPr>
        <w:pStyle w:val="BodyText"/>
      </w:pPr>
      <w:r>
        <w:t xml:space="preserve">Из всех случаев заболевания в 2022 году 12% пришлось на эту форму заболевания</w:t>
      </w:r>
    </w:p>
    <w:p>
      <w:pPr>
        <w:pStyle w:val="BodyText"/>
      </w:pPr>
      <w:r>
        <w:t xml:space="preserve">Дети болеют энтеровирусной инфекцией чаще и тяжелее, чем взрослые</w:t>
      </w:r>
    </w:p>
    <w:p>
      <w:pPr>
        <w:pStyle w:val="BodyText"/>
      </w:pPr>
      <w:r>
        <w:rPr>
          <w:bCs/>
          <w:b/>
        </w:rPr>
        <w:t xml:space="preserve">Соблюдение правил личной гигиены имеет жизненно важное значение для предотвращения распространения энтеровирусных инфекций.</w:t>
      </w:r>
    </w:p>
    <w:p>
      <w:pPr>
        <w:pStyle w:val="BodyText"/>
      </w:pPr>
      <w:r>
        <w:rPr>
          <w:bCs/>
          <w:b/>
        </w:rPr>
        <w:t xml:space="preserve">Меры профилактики энтеровирусной инфекции</w:t>
      </w:r>
    </w:p>
    <w:p>
      <w:pPr>
        <w:pStyle w:val="BodyText"/>
      </w:pPr>
      <w:r>
        <w:t xml:space="preserve">- мыть руки с мылом после посещения туалета, перед едой</w:t>
      </w:r>
    </w:p>
    <w:p>
      <w:pPr>
        <w:pStyle w:val="BodyText"/>
      </w:pPr>
      <w:r>
        <w:t xml:space="preserve">- тщательно мыть фрукты и овощи</w:t>
      </w:r>
    </w:p>
    <w:p>
      <w:pPr>
        <w:pStyle w:val="BodyText"/>
      </w:pPr>
      <w:r>
        <w:t xml:space="preserve">- пить только бутилированную или кипяченую воду</w:t>
      </w:r>
    </w:p>
    <w:p>
      <w:pPr>
        <w:pStyle w:val="BodyText"/>
      </w:pPr>
      <w:r>
        <w:t xml:space="preserve">- избегать контактов с людьми с признаками инфекционных заболеваний, с сыпью, температурой, кашлем и другими симптомами</w:t>
      </w:r>
    </w:p>
    <w:p>
      <w:pPr>
        <w:pStyle w:val="BodyText"/>
      </w:pPr>
      <w:r>
        <w:t xml:space="preserve">- купаться только на специально оборудованных пляжах или в бассейнах, в которых проводится обеззараживание и контроль качества воды</w:t>
      </w:r>
    </w:p>
    <w:p>
      <w:pPr>
        <w:pStyle w:val="BodyText"/>
      </w:pPr>
      <w:r>
        <w:t xml:space="preserve">- защищать пищу от мух и других насекомых</w:t>
      </w:r>
    </w:p>
    <w:p>
      <w:pPr>
        <w:pStyle w:val="BodyText"/>
      </w:pPr>
      <w:r>
        <w:t xml:space="preserve">- не использовать для охлаждения напитков лед, приготовленный из воды неизвестного качества</w:t>
      </w:r>
    </w:p>
    <w:p>
      <w:pPr>
        <w:pStyle w:val="BodyText"/>
      </w:pPr>
      <w:r>
        <w:t xml:space="preserve">- не трогать грязными руками лицо, нос, глаза</w:t>
      </w:r>
    </w:p>
    <w:p>
      <w:pPr>
        <w:pStyle w:val="BodyText"/>
      </w:pPr>
      <w:r>
        <w:t xml:space="preserve">При подозрении на инфекционное заболевание – немедленно обратитесь к врачу.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Рекомендации</w:t>
      </w:r>
    </w:p>
    <w:p>
      <w:pPr>
        <w:pStyle w:val="BodyText"/>
      </w:pPr>
      <w:r>
        <w:rPr>
          <w:bCs/>
          <w:b/>
        </w:rPr>
        <w:t xml:space="preserve">по минимизации эпидемиологических рисков при эксплуатации фонтанов</w:t>
      </w:r>
    </w:p>
    <w:p>
      <w:pPr>
        <w:pStyle w:val="BodyText"/>
      </w:pPr>
      <w:r>
        <w:t xml:space="preserve">Эксплуатация фонтанов должна осуществляться с учетом требований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мероприятий». Однако, подход основанный на понимании фонтана как водного объекта рекреационного назначения, не является достаточным, поскольку фонтан является центром притяжения в условиях городской среды, местом большого скопления людей и их интенсивного передвижения. При этом высока вероятность распространения патогенных биологических агентов при контакте человека с водой, используемой фонтанными устройствами.</w:t>
      </w:r>
    </w:p>
    <w:p>
      <w:pPr>
        <w:pStyle w:val="BodyText"/>
      </w:pPr>
      <w:r>
        <w:t xml:space="preserve">Согласно приказу Минрегиона России от 27.12.2011 № 613 (ред. от 17.03.2014, ныне не действующий) «Об утверждении Методических рекомендаций по разработке норм и правил по благоустройству территорий муниципальных образований», фонтан относят к водным устройствам (помимо питьевых фонтанчиков).</w:t>
      </w:r>
    </w:p>
    <w:p>
      <w:pPr>
        <w:pStyle w:val="BodyText"/>
      </w:pPr>
      <w:r>
        <w:t xml:space="preserve">Под фонтаном понимается предназначенное для рекреационных целей устройство, имеющее в своей конструкции форсунки или иные технические элементы, позволяющие формировать водный поток в потоки, струи, аэрозоль таким образом, чтобы направлять её движение в специально предусмотренное приёмное устройство для воды. Фонтан не предназначен для обеспечения населения питьевой водой, водой для хозяйственных нужд, а также для занятий водными видами спорта.</w:t>
      </w:r>
    </w:p>
    <w:p>
      <w:pPr>
        <w:pStyle w:val="BodyText"/>
      </w:pPr>
      <w:r>
        <w:t xml:space="preserve">По способу использования воды можно выделить два основных вида фонтана:</w:t>
      </w:r>
    </w:p>
    <w:p>
      <w:pPr>
        <w:pStyle w:val="BodyText"/>
      </w:pPr>
      <w:r>
        <w:t xml:space="preserve">- проточный, в котором вода из источника по техническим элементам протекает один раз и далее поступает в ванну/чашу фонтана. Повторно из ванны/чаши фонтана вода для формирования потоков, струй, аэрозоля не используется;</w:t>
      </w:r>
    </w:p>
    <w:p>
      <w:pPr>
        <w:pStyle w:val="BodyText"/>
      </w:pPr>
      <w:r>
        <w:t xml:space="preserve">- цикличный, в котором вода (часть воды в добавление к воде из другого источника) забирается из ванны/чаши фонтана для формирования потоков, струй, аэрозоля более одного раза.</w:t>
      </w:r>
    </w:p>
    <w:p>
      <w:pPr>
        <w:pStyle w:val="BodyText"/>
      </w:pPr>
      <w:r>
        <w:t xml:space="preserve">По способу организации конструкции фонтана можно выделить два основных типа:</w:t>
      </w:r>
    </w:p>
    <w:p>
      <w:pPr>
        <w:pStyle w:val="BodyText"/>
      </w:pPr>
      <w:r>
        <w:t xml:space="preserve">- фонтаны с надземным (простым) архитектурно-художественным устройством (в виде наземных ванн с водой и струящимися потоками воды). При этом основным критерием отнесения к такому виду фонтанов является конструктивное исполнение, не допускающее при обычном использовании контакта воды с людьми по пути её следования в ванну/чашу, находящуюся над поверхностью земли;</w:t>
      </w:r>
    </w:p>
    <w:p>
      <w:pPr>
        <w:pStyle w:val="BodyText"/>
      </w:pPr>
      <w:r>
        <w:t xml:space="preserve">- фонтаны, являющиеся элементами водных сооружений, водоёмов, - устроены как часть ландшафта и прилегающей территории, используют воду непосредственно из водоёмов;</w:t>
      </w:r>
    </w:p>
    <w:p>
      <w:pPr>
        <w:pStyle w:val="BodyText"/>
      </w:pPr>
      <w:r>
        <w:t xml:space="preserve">- фонтаны в виде сложных комплексов типа пешеходных фонтанов - имеют наземную часть в форме пешеходной площадки, в которой устроены технические средства, формирующие струи и потоки воды, а в подземной части расположены резервуары для воды (чаши фонтана) с установленными распределительными коллекторами.</w:t>
      </w:r>
    </w:p>
    <w:p>
      <w:pPr>
        <w:pStyle w:val="BodyText"/>
      </w:pPr>
      <w:r>
        <w:t xml:space="preserve">Для фонтанов с проточным способом использования воды меры по обеспечению санитарных требований должны включать санитарную обработку узлов и элементов фонтана, а также определять периодичность такой обработки. Водоподготовка в состав мер не включается.</w:t>
      </w:r>
    </w:p>
    <w:p>
      <w:pPr>
        <w:pStyle w:val="BodyText"/>
      </w:pPr>
      <w:r>
        <w:t xml:space="preserve">Для фонтанов, являющихся элементами водных сооружений, водоёмов применяются санитарно-эпидемиологические требования к водным объектам.</w:t>
      </w:r>
    </w:p>
    <w:p>
      <w:pPr>
        <w:pStyle w:val="BodyText"/>
      </w:pPr>
      <w:r>
        <w:t xml:space="preserve">Для фонтанов с цикличным способом использования воды, меры по обеспечению санитарных требований должны включать санитарную обработку узлов и элементов фонтана, определять периодичность такой обработки, а также мероприятия по подготовке (рециркуляции) воды для повторного использования. Фонтаны должны быть оборудованы системами, обеспечивающими водообмен в ваннах/чашах фонтанов по типу рециркуляционного (оборотного) водообмена бассейнов с периодической сменой воды, поступающей из системы хозяйственно-питьевого водоснабжения. Рециркуляция в ваннах фонтанов так же, как и бассейнов, предусматривает многократное применение воды с очисткой, дезинфекцией и одновременным пополнением убыли свежей водопроводной водой согласно СанПиН 2.1.3684-21. Рекомендуемая продолжительность полной смены воды (водообмена) в ваннах фонтанов сложного (пешеходного) типа может составлять 6,0 часов (как для оздоровительных бассейнов согласно ГОСТ Р 53491.1), а для простых фонтанных устройств – 8 и более часов, в том числе и при наличии аншлагов о запрете купания в фонтанах простого устройства.</w:t>
      </w:r>
    </w:p>
    <w:p>
      <w:pPr>
        <w:pStyle w:val="BodyText"/>
      </w:pPr>
      <w:r>
        <w:t xml:space="preserve">Для фонтанов со сменой воды так же, как и для бассейнов, допускается применение воды, поступающей из централизованной системы питьевого водоснабжения при соблюдении требований СанПиН 2.1.3684-21. Необходимость обеззараживания такой воды определяется ГОСТ Р 53491.1. Очистку технологической воды ванн/чаш фонтанов так же, как и бассейнов, следует осуществлять в соответствии с СанПиН 2.1.3684-21. Водосточные сооружения в фонтанах, аналогично бассейнам, следует предусматривать раздельно для каждой ванны/чаши или для группы ванн одинакового назначения. Не допускается последовательное включение в единую систему водоподготовки двух и более ванн/чаш. Обеззараживание воды в фонтанах, как и в бассейнах, следует проводить в соответствии с ГОСТ Р 53491.1 и СанПиН 2.1.3684-21.</w:t>
      </w:r>
    </w:p>
    <w:p>
      <w:pPr>
        <w:pStyle w:val="BodyText"/>
      </w:pPr>
      <w:r>
        <w:t xml:space="preserve">Хозяйствующие субъекты, осуществляющие эксплуатацию, водоснабжение и водоотведение фонтанных систем, должны осуществлять производственный контроль по программе производственного контроля качества питьевой и горячей воды, разработанной и согласованной в соответствии с правилами осуществления производственного контроля качества и безопасности питьевой воды, горячей воды, установленными постановлением Правительства Российской Федерации от 06.01.2015 № 10 «О порядке осуществления производственного контроля качества и безопасности питьевой воды, горячей воды»(Собрание законодательства Российской Федерации, 2015, N 2, ст. 523) и «Правилами выбора в рамках производственного контроля: установления контролируемых показателей питьевой воды при проведении лабораторных исследований качества питьевой воды, контролируемых показателей горячей воды при проведении лабораторных исследований горячей воды открытых систем горячего водоснабжения, периодичности и количества проб питьевой воды при проведении лабораторных исследований качества питьевой воды» (Приложения №2-4 к СанПиН 2.1.3684-21).</w:t>
      </w:r>
    </w:p>
    <w:p>
      <w:pPr>
        <w:pStyle w:val="BodyText"/>
      </w:pPr>
      <w:r>
        <w:drawing>
          <wp:inline>
            <wp:extent cx="5334000" cy="754422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ogorodskoe.mos.ru/www/upload/medialibrary/33c/07dancx1e3gumu0imps8mzyilkg3qxoi/Enterovirusnaya-infektsiya1_page_000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42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http://bogorodskoe.mos.ru/social_sphere/inform/detail/11764331.html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social_sphere/inform/detail/1176433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social_sphere/inform/detail/1176433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2023-08-22T17:53:37Z</dcterms:created>
  <dcterms:modified xsi:type="dcterms:W3CDTF">2023-08-22T17:53:37Z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