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b6d4cf58d15053a27a2286733b8b72531221f7a"/>
    <w:p>
      <w:pPr>
        <w:pStyle w:val="Heading3"/>
      </w:pPr>
      <w:r>
        <w:t xml:space="preserve">Cроки представления уведомления об исчисленных суммах налогов налоговыми агентами</w:t>
      </w:r>
    </w:p>
    <w:p>
      <w:pPr>
        <w:pStyle w:val="FirstParagraph"/>
      </w:pPr>
      <w:r>
        <w:t xml:space="preserve">26.12.2024</w:t>
      </w:r>
    </w:p>
    <w:p>
      <w:pPr>
        <w:pStyle w:val="BodyText"/>
      </w:pPr>
      <w:r>
        <w:drawing>
          <wp:inline>
            <wp:extent cx="5334000" cy="37717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Сроки%20представления%20уведомления%202024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79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ogorodskoe.mos.ru/www/Сроки%20представления%20уведомления%202024_page-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http://bogorodskoe.mos.ru/social_sphere/inform/detail/12741262.html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social_sphere/inform/detail/127412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social_sphere/inform/detail/127412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2024-12-26T07:35:25Z</dcterms:created>
  <dcterms:modified xsi:type="dcterms:W3CDTF">2024-12-26T07:35:25Z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