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ce6a843f91a9d386994b0626826cb4b08a2e2"/>
    <w:p>
      <w:pPr>
        <w:pStyle w:val="Heading3"/>
      </w:pPr>
      <w:r>
        <w:t xml:space="preserve">Информация о порядке налогообложения теплиц и других хозпостроек</w:t>
      </w:r>
    </w:p>
    <w:p>
      <w:pPr>
        <w:pStyle w:val="FirstParagraph"/>
      </w:pPr>
      <w:r>
        <w:t xml:space="preserve">25.04.2019</w:t>
      </w:r>
    </w:p>
    <w:p>
      <w:pPr>
        <w:pStyle w:val="BodyText"/>
      </w:pPr>
      <w:r>
        <w:rPr>
          <w:iCs/>
          <w:i/>
          <w:bCs/>
          <w:b/>
        </w:rPr>
        <w:t xml:space="preserve">Информация для размещения</w:t>
      </w:r>
    </w:p>
    <w:p>
      <w:pPr>
        <w:pStyle w:val="BodyText"/>
      </w:pPr>
      <w:r>
        <w:rPr>
          <w:iCs/>
          <w:i/>
          <w:bCs/>
          <w:b/>
        </w:rPr>
        <w:t xml:space="preserve">на сайтах Префектур, управ и муниципалитетов г. Москвы;</w:t>
      </w:r>
    </w:p>
    <w:p>
      <w:pPr>
        <w:pStyle w:val="BodyText"/>
      </w:pPr>
      <w:r>
        <w:rPr>
          <w:iCs/>
          <w:i/>
          <w:bCs/>
          <w:b/>
        </w:rPr>
        <w:t xml:space="preserve">в окружных и районных печатных СМИ</w:t>
      </w:r>
    </w:p>
    <w:p>
      <w:pPr>
        <w:pStyle w:val="BodyText"/>
      </w:pPr>
      <w:r>
        <w:rPr>
          <w:iCs/>
          <w:i/>
          <w:bCs/>
          <w:b/>
        </w:rPr>
        <w:t xml:space="preserve">в период с 25.04.2019 по 30.05.2019</w:t>
      </w:r>
    </w:p>
    <w:p>
      <w:pPr>
        <w:pStyle w:val="BodyText"/>
      </w:pPr>
      <w:r>
        <w:rPr>
          <w:bCs/>
          <w:b/>
        </w:rPr>
        <w:t xml:space="preserve">Информация о порядке налогообложения теплиц и других хозпостроек</w:t>
      </w:r>
    </w:p>
    <w:p>
      <w:pPr>
        <w:pStyle w:val="BodyText"/>
      </w:pPr>
      <w:r>
        <w:t xml:space="preserve">В соответствии с положениями статьи 400, пункта 2 статьи 408 Налогового кодекса Российской Федерации налогом на имущество физических лиц облагаются только те хозяйственные постройки, сведения о которых представлены в налоговые органы органами Росреестра из Единого государственного реестра недвижимости или были представлены в налоговые органы из БТИ.</w:t>
      </w:r>
    </w:p>
    <w:p>
      <w:pPr>
        <w:pStyle w:val="BodyText"/>
      </w:pPr>
      <w:r>
        <w:t xml:space="preserve">В число хозпостроек могут входить хозяйственные, бытовые, подсобные капитальные строения, вспомогательные сооружения, в том числе летние кухни, бани и иные аналогичные объекты недвижимости. Жилые помещения и гаражи не являются хозпостройками и облагаются налогом как самостоятельная недвижимость.</w:t>
      </w:r>
    </w:p>
    <w:p>
      <w:pPr>
        <w:pStyle w:val="BodyText"/>
      </w:pPr>
      <w:r>
        <w:t xml:space="preserve">Владелец хозпостройки сам определяет, нужно ему обращаться в органы Росреестра для ее регистрации в качестве недвижимости в ЕГРН или нет. Для внесения в ЕГРН хозпостройка должна отвечать признакам недвижимости: быть прочно связана с землей, а ее перемещение без несоразмерного ущерба ее назначению невозможно (п. 1 ст. 130 Гражданского кодекса Российской Федерации).</w:t>
      </w:r>
    </w:p>
    <w:p>
      <w:pPr>
        <w:pStyle w:val="BodyText"/>
      </w:pPr>
      <w:r>
        <w:t xml:space="preserve">Хозпостройки, которые не относятся к недвижимости, а также объекты движимого имущества в ЕГРН не регистрируются (ст. 131 Гражданского кодекса Российской Федерации) и вышеуказанным налогом не облагаются. Речь идет, в частности, о не имеющих капитального фундамента теплицах, сборно-разборных хозблоках, бытовках, навесах, некапитальных временных строениях и т.п.</w:t>
      </w:r>
    </w:p>
    <w:p>
      <w:pPr>
        <w:pStyle w:val="BodyText"/>
      </w:pPr>
      <w:r>
        <w:t xml:space="preserve">Если хозпостройка зарегистрирована в ЕГРН, но ее площадь не более 50 кв.м, то налог с нее не взимается. Льгота применяется только для одной хозпостройки (независимо от её расположения в пределах страны). Основное условие – постройка не используется в предпринимательской деятельности (пп. 15 п. 1, п. 2-5 ст. 407 Налогового кодекса).</w:t>
      </w:r>
    </w:p>
    <w:p>
      <w:pPr>
        <w:pStyle w:val="BodyText"/>
      </w:pPr>
      <w:r>
        <w:t xml:space="preserve">В силу п. 2 ст. 399 Налогового кодекса представительные органы муниципальных образований могут расширить условия применения вышеуказанной налоговой льготы по налогу (например, в отношении неограниченного числа хозпостроек в пределах муниципального образования или на хозпостройки площадью более 50 кв.м). Ознакомиться с перечнем налоговых льгот можно в сервисе «Справочная информация о ставках и льготах по имущественным налогам» на сайте ФНС России nalog.ru.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http://bogorodskoe.mos.ru/social_sphere/inform/detail/8048245.html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0482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0482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2023-08-22T21:31:57Z</dcterms:created>
  <dcterms:modified xsi:type="dcterms:W3CDTF">2023-08-22T21:31:57Z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