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что-можно-и-нельзя-во-время-карантина"/>
    <w:p>
      <w:pPr>
        <w:pStyle w:val="Heading3"/>
      </w:pPr>
      <w:r>
        <w:t xml:space="preserve">Что можно и нельзя во время карантина</w:t>
      </w:r>
    </w:p>
    <w:p>
      <w:pPr>
        <w:pStyle w:val="FirstParagraph"/>
      </w:pPr>
      <w:r>
        <w:t xml:space="preserve">02.04.2020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http://bogorodskoe.mos.ru/social_sphere/inform/detail/8806847.html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ocial_sphere/inform/detail/88068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ocial_sphere/inform/detail/88068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2024-03-24T07:17:48Z</dcterms:created>
  <dcterms:modified xsi:type="dcterms:W3CDTF">2024-03-24T07:17:48Z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