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5a67dbdb0a5185a9d65bbd3042b12ed585c2c1"/>
    <w:p>
      <w:pPr>
        <w:pStyle w:val="Heading3"/>
      </w:pPr>
      <w:r>
        <w:t xml:space="preserve">Как будет рассчитываться налог на машино-место?</w:t>
      </w:r>
    </w:p>
    <w:p>
      <w:pPr>
        <w:pStyle w:val="FirstParagraph"/>
      </w:pPr>
      <w:r>
        <w:t xml:space="preserve">21.12.2017</w:t>
      </w:r>
    </w:p>
    <w:p>
      <w:pPr>
        <w:pStyle w:val="BodyText"/>
      </w:pPr>
      <w:r>
        <w:t xml:space="preserve">Нельзя однозначно сказать, как повлияют изменения на размер налога. Некоторые владельцы столкнутся с уменьшением налоговой нагрузки, поскольку для расчета налога на долю паркинга в общей собственности учитывалась территория не только самой парковочной площадки, но и часть территории общего пользования.</w:t>
      </w:r>
    </w:p>
    <w:p>
      <w:pPr>
        <w:pStyle w:val="BodyText"/>
      </w:pPr>
      <w:r>
        <w:t xml:space="preserve">По новой схеме, действующей с 2015 года, для расчета налога будет использована кадастровая стоимость парковочного места, максимально приближенная к рыночной, а ставка налога составит 0,1%. Таким образом, сумма налога может увеличиться на машино-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места, расположенные в новых паркингах и центральной части крупных городов, где цены на недвижимость самые высокие.</w:t>
      </w:r>
    </w:p>
    <w:p>
      <w:pPr>
        <w:pStyle w:val="BodyText"/>
      </w:pPr>
      <w:r>
        <w:t xml:space="preserve">Кадастровая стоимость для расчета налога на имущество уже используется в 28 регионах страны, а в течение следующих 4 лет планируется переход всех оставшихся регионов на новую схему расчетов.</w:t>
      </w:r>
    </w:p>
    <w:p>
      <w:pPr>
        <w:pStyle w:val="BodyText"/>
      </w:pPr>
      <w:r>
        <w:t xml:space="preserve">Чтобы рассчитать размер налога, необходимо:</w:t>
      </w:r>
    </w:p>
    <w:p>
      <w:pPr>
        <w:numPr>
          <w:ilvl w:val="0"/>
          <w:numId w:val="1001"/>
        </w:numPr>
        <w:pStyle w:val="Compact"/>
      </w:pPr>
      <w:r>
        <w:t xml:space="preserve">Узнать на сайте Росреестра кадастровую стоимость машино-места;</w:t>
      </w:r>
    </w:p>
    <w:p>
      <w:pPr>
        <w:numPr>
          <w:ilvl w:val="0"/>
          <w:numId w:val="1001"/>
        </w:numPr>
        <w:pStyle w:val="Compact"/>
      </w:pPr>
      <w:r>
        <w:t xml:space="preserve">Рассчитать сумму налога исходя из того, что процентная ставка составляет 0,1% от кадастровой стоимости. Правда, в каждом регионе во время переходного периода местные власти могу уменьшить ставку до 0% либо увеличить ее не более чем в 3 раза;</w:t>
      </w:r>
    </w:p>
    <w:p>
      <w:pPr>
        <w:numPr>
          <w:ilvl w:val="0"/>
          <w:numId w:val="1001"/>
        </w:numPr>
        <w:pStyle w:val="Compact"/>
      </w:pPr>
      <w:r>
        <w:t xml:space="preserve">Уменьшить рассчитанную сумму налога на понижающий коэффициент. В первый год необходимо будет уплатить только 20% от всей суммы налога, во второй — 40%, в третий — 60%, в четвертый — 80%, и только в пятый — 100%.</w:t>
      </w:r>
    </w:p>
    <w:p>
      <w:pPr>
        <w:numPr>
          <w:ilvl w:val="0"/>
          <w:numId w:val="1001"/>
        </w:numPr>
        <w:pStyle w:val="Compact"/>
      </w:pPr>
      <w:r>
        <w:t xml:space="preserve">Таким образом, если кадастровая стоимость парковочного места составляет 300 000 рублей, то полный размер налога составит 300 рублей (а с учетом понижающих коэффициентов — 60, 120, 180, 240 рублей). 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http://bogorodskoe.mos.ru/the-realization-of-the-objects-of-the-garage/detail/7053474.html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he-realization-of-the-objects-of-the-garage/detail/70534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he-realization-of-the-objects-of-the-garage/detail/70534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2024-04-10T23:29:39Z</dcterms:created>
  <dcterms:modified xsi:type="dcterms:W3CDTF">2024-04-10T23:29:39Z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