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приобрести-машино-место-6-шагов"/>
    <w:p>
      <w:pPr>
        <w:pStyle w:val="Heading3"/>
      </w:pPr>
      <w:r>
        <w:t xml:space="preserve">Приобрести машино-место – 6 шагов</w:t>
      </w:r>
    </w:p>
    <w:p>
      <w:pPr>
        <w:pStyle w:val="FirstParagraph"/>
      </w:pPr>
      <w:r>
        <w:t xml:space="preserve">21.12.2017</w:t>
      </w:r>
    </w:p>
    <w:p>
      <w:pPr>
        <w:pStyle w:val="BodyText"/>
      </w:pPr>
      <w:r>
        <w:drawing>
          <wp:inline>
            <wp:extent cx="5334000" cy="43672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the-realization-of-the-objects-of-the-garage/Схема%20приобретения%20(новая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72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http://bogorodskoe.mos.ru/the-realization-of-the-objects-of-the-garage/detail/7053640.html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realization-of-the-objects-of-the-garage/detail/705364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the-realization-of-the-objects-of-the-garage/detail/705364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2024-04-29T12:53:58Z</dcterms:created>
  <dcterms:modified xsi:type="dcterms:W3CDTF">2024-04-29T12:53:58Z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