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принять-участие-в-торгах"/>
    <w:p>
      <w:pPr>
        <w:pStyle w:val="Heading3"/>
      </w:pPr>
      <w:r>
        <w:t xml:space="preserve">Как принять участие в торгах?</w:t>
      </w:r>
    </w:p>
    <w:p>
      <w:pPr>
        <w:pStyle w:val="FirstParagraph"/>
      </w:pPr>
      <w:r>
        <w:t xml:space="preserve">12.07.2018</w:t>
      </w:r>
    </w:p>
    <w:p>
      <w:pPr>
        <w:pStyle w:val="BodyText"/>
      </w:pPr>
      <w:r>
        <w:drawing>
          <wp:inline>
            <wp:extent cx="5328517" cy="75639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the-realization-of-the-objects-of-the-garage/Машиноместа%20на%20сайт_Страница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517" cy="7563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http://bogorodskoe.mos.ru/the-realization-of-the-objects-of-the-garage/detail/7445751.html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he-realization-of-the-objects-of-the-garage/detail/7445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he-realization-of-the-objects-of-the-garage/detail/7445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2023-09-27T16:38:24Z</dcterms:created>
  <dcterms:modified xsi:type="dcterms:W3CDTF">2023-09-27T16:38:24Z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