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584f4c6e5d4dd0e763d7a29ee665f937e2448f"/>
    <w:p>
      <w:pPr>
        <w:pStyle w:val="Heading3"/>
      </w:pPr>
      <w:r>
        <w:t xml:space="preserve">Pеализация 73 машино-мест площадью от 11,4 кв.м. до 26,7 кв.м., расположенных в объекте гаражного назначения по адресу: г. Москва, ул. Миллионная, д.1.</w:t>
      </w:r>
    </w:p>
    <w:p>
      <w:pPr>
        <w:pStyle w:val="FirstParagraph"/>
      </w:pPr>
      <w:r>
        <w:t xml:space="preserve">29.05.2020</w:t>
      </w:r>
    </w:p>
    <w:p>
      <w:pPr>
        <w:pStyle w:val="BodyText"/>
      </w:pPr>
      <w:r>
        <w:t xml:space="preserve">В соответствии с постановлением Правительства Москвы от 24.07.2018 № 769-ПП «Об установлении особенностей согласования отдельных видов сделок, связанных с отчуждением недвижимого имущества, совершаемых государственными унитарными предприятиями (государственными предприятиями, казенными предприятиями) города Москвы, государственными учреждениями города Москвы», Департамент города Москвы </w:t>
      </w:r>
      <w:r>
        <w:t xml:space="preserve">по конкурентной политике сообщает о реализации 73 машино-мест площадью от 11,4 кв.м. </w:t>
      </w:r>
      <w:r>
        <w:t xml:space="preserve">до 26,7 кв.м., расположенных в объекте гаражного назначения по адресу: г. Москва, </w:t>
      </w:r>
      <w:r>
        <w:t xml:space="preserve">ул. Миллионная, д.1.</w:t>
      </w:r>
    </w:p>
    <w:p>
      <w:pPr>
        <w:pStyle w:val="BodyText"/>
      </w:pPr>
      <w:r>
        <w:t xml:space="preserve">Существенным условием сделки является отчуждение указанных машино-мест </w:t>
      </w:r>
      <w:r>
        <w:t xml:space="preserve">в преимущественном порядке жителям жилых помещений многоквартирного дома по адресу: </w:t>
      </w:r>
      <w:r>
        <w:t xml:space="preserve">г. Москва, ул.Миллионная, д.1.</w:t>
      </w:r>
    </w:p>
    <w:p>
      <w:pPr>
        <w:pStyle w:val="BodyText"/>
      </w:pPr>
      <w:r>
        <w:t xml:space="preserve">Прием заявок от жителей жилых помещений осуществляется с 09.06.2020 с использованием функционала электронной площадки </w:t>
      </w:r>
      <w:hyperlink r:id="rId20">
        <w:r>
          <w:rPr>
            <w:rStyle w:val="Hyperlink"/>
          </w:rPr>
          <w:t xml:space="preserve">www.roseltorg.ru</w:t>
        </w:r>
      </w:hyperlink>
      <w:r>
        <w:t xml:space="preserve">.</w:t>
      </w:r>
    </w:p>
    <w:p>
      <w:pPr>
        <w:pStyle w:val="BodyText"/>
      </w:pPr>
      <w:r>
        <w:t xml:space="preserve">Информацию об адресе расположения машино-места и его стоимости можно найти на сайте Инвестиционного портала города Москвы (</w:t>
      </w:r>
      <w:hyperlink r:id="rId21">
        <w:r>
          <w:rPr>
            <w:rStyle w:val="Hyperlink"/>
          </w:rPr>
          <w:t xml:space="preserve">www.investmoscow.ru</w:t>
        </w:r>
      </w:hyperlink>
      <w:r>
        <w:t xml:space="preserve">), содержащую информацию о возможности приобретения жителями машино-мест в преимущественном порядке или перейти по ссылке</w:t>
      </w:r>
      <w:r>
        <w:t xml:space="preserve"> </w:t>
      </w:r>
      <w:hyperlink r:id="rId22">
        <w:r>
          <w:rPr>
            <w:rStyle w:val="Hyperlink"/>
          </w:rPr>
          <w:t xml:space="preserve">https://investmoscow.ru/tenders/prodazha-mashinomest/pretradeinfo/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http://bogorodskoe.mos.ru/the-realization-of-the-objects-of-the-garage/detail/8932099.html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the-realization-of-the-objects-of-the-garage/detail/8932099.html" TargetMode="External" /><Relationship Type="http://schemas.openxmlformats.org/officeDocument/2006/relationships/hyperlink" Id="rId21" Target="http://www.investmoscow.ru/" TargetMode="External" /><Relationship Type="http://schemas.openxmlformats.org/officeDocument/2006/relationships/hyperlink" Id="rId22" Target="https://investmoscow.ru/tenders/prodazha-mashinomest/pretradeinfo/" TargetMode="External" /><Relationship Type="http://schemas.openxmlformats.org/officeDocument/2006/relationships/hyperlink" Id="rId20" Target="www.roseltorg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the-realization-of-the-objects-of-the-garage/detail/8932099.html" TargetMode="External" /><Relationship Type="http://schemas.openxmlformats.org/officeDocument/2006/relationships/hyperlink" Id="rId21" Target="http://www.investmoscow.ru/" TargetMode="External" /><Relationship Type="http://schemas.openxmlformats.org/officeDocument/2006/relationships/hyperlink" Id="rId22" Target="https://investmoscow.ru/tenders/prodazha-mashinomest/pretradeinfo/" TargetMode="External" /><Relationship Type="http://schemas.openxmlformats.org/officeDocument/2006/relationships/hyperlink" Id="rId20" Target="www.roseltorg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2024-06-28T21:08:10Z</dcterms:created>
  <dcterms:modified xsi:type="dcterms:W3CDTF">2024-06-28T21:08:10Z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